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469" w:beforeLines="150" w:line="760" w:lineRule="exact"/>
        <w:ind w:firstLine="640" w:firstLineChars="200"/>
        <w:jc w:val="right"/>
        <w:textAlignment w:val="auto"/>
        <w:outlineLvl w:val="9"/>
        <w:rPr>
          <w:rFonts w:ascii="Times New Roman" w:hAnsi="Times New Roman" w:eastAsia="仿宋"/>
          <w:color w:val="auto"/>
          <w:kern w:val="0"/>
          <w:szCs w:val="32"/>
        </w:rPr>
      </w:pPr>
    </w:p>
    <w:p>
      <w:pPr>
        <w:widowControl/>
        <w:spacing w:line="760" w:lineRule="exact"/>
        <w:ind w:firstLine="640" w:firstLineChars="200"/>
        <w:jc w:val="right"/>
        <w:rPr>
          <w:rFonts w:ascii="Times New Roman" w:hAnsi="Times New Roman" w:eastAsia="仿宋"/>
          <w:color w:val="auto"/>
          <w:kern w:val="0"/>
          <w:szCs w:val="32"/>
        </w:rPr>
      </w:pPr>
    </w:p>
    <w:p>
      <w:pPr>
        <w:widowControl/>
        <w:spacing w:line="760" w:lineRule="exact"/>
        <w:ind w:firstLine="640" w:firstLineChars="200"/>
        <w:jc w:val="right"/>
        <w:rPr>
          <w:rFonts w:ascii="Times New Roman" w:hAnsi="Times New Roman" w:eastAsia="仿宋"/>
          <w:color w:val="auto"/>
          <w:kern w:val="0"/>
          <w:szCs w:val="32"/>
        </w:rPr>
      </w:pPr>
    </w:p>
    <w:p>
      <w:pPr>
        <w:keepNext w:val="0"/>
        <w:keepLines w:val="0"/>
        <w:pageBreakBefore w:val="0"/>
        <w:widowControl/>
        <w:kinsoku/>
        <w:wordWrap/>
        <w:overflowPunct/>
        <w:topLinePunct w:val="0"/>
        <w:autoSpaceDE/>
        <w:autoSpaceDN/>
        <w:bidi w:val="0"/>
        <w:adjustRightInd/>
        <w:snapToGrid/>
        <w:spacing w:line="700" w:lineRule="exact"/>
        <w:ind w:firstLine="640" w:firstLineChars="200"/>
        <w:jc w:val="right"/>
        <w:textAlignment w:val="auto"/>
        <w:rPr>
          <w:rFonts w:hint="eastAsia" w:ascii="仿宋_GB2312" w:hAnsi="仿宋_GB2312" w:cs="仿宋_GB2312"/>
          <w:color w:val="auto"/>
          <w:kern w:val="0"/>
          <w:szCs w:val="32"/>
          <w:highlight w:val="yellow"/>
        </w:rPr>
      </w:pPr>
      <w:r>
        <w:rPr>
          <w:rFonts w:hint="eastAsia" w:ascii="仿宋_GB2312" w:hAnsi="仿宋_GB2312" w:cs="仿宋_GB2312"/>
          <w:color w:val="auto"/>
          <w:kern w:val="0"/>
          <w:szCs w:val="32"/>
        </w:rPr>
        <w:t>济环评审〔202</w:t>
      </w:r>
      <w:r>
        <w:rPr>
          <w:rFonts w:hint="eastAsia" w:ascii="仿宋_GB2312" w:hAnsi="仿宋_GB2312" w:cs="仿宋_GB2312"/>
          <w:color w:val="auto"/>
          <w:kern w:val="0"/>
          <w:szCs w:val="32"/>
          <w:lang w:val="en-US" w:eastAsia="zh-CN"/>
        </w:rPr>
        <w:t>6</w:t>
      </w:r>
      <w:r>
        <w:rPr>
          <w:rFonts w:hint="eastAsia" w:ascii="仿宋_GB2312" w:hAnsi="仿宋_GB2312" w:cs="仿宋_GB2312"/>
          <w:color w:val="auto"/>
          <w:kern w:val="0"/>
          <w:szCs w:val="32"/>
        </w:rPr>
        <w:t>〕</w:t>
      </w:r>
      <w:r>
        <w:rPr>
          <w:rFonts w:hint="eastAsia" w:ascii="仿宋_GB2312" w:hAnsi="仿宋_GB2312" w:cs="仿宋_GB2312"/>
          <w:color w:val="auto"/>
          <w:kern w:val="0"/>
          <w:szCs w:val="32"/>
          <w:highlight w:val="none"/>
          <w:lang w:val="en-US" w:eastAsia="zh-CN"/>
        </w:rPr>
        <w:t>10</w:t>
      </w:r>
      <w:r>
        <w:rPr>
          <w:rFonts w:hint="eastAsia" w:ascii="仿宋_GB2312" w:hAnsi="仿宋_GB2312" w:cs="仿宋_GB2312"/>
          <w:color w:val="auto"/>
          <w:kern w:val="0"/>
          <w:szCs w:val="32"/>
          <w:highlight w:val="none"/>
        </w:rPr>
        <w:t>号</w:t>
      </w:r>
    </w:p>
    <w:p>
      <w:pPr>
        <w:widowControl/>
        <w:spacing w:line="460" w:lineRule="exact"/>
        <w:ind w:firstLine="640" w:firstLineChars="200"/>
        <w:jc w:val="right"/>
        <w:rPr>
          <w:rFonts w:hint="eastAsia" w:ascii="仿宋_GB2312" w:hAnsi="仿宋_GB2312" w:cs="仿宋_GB2312"/>
          <w:color w:val="262626"/>
          <w:kern w:val="0"/>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262626"/>
          <w:kern w:val="0"/>
          <w:sz w:val="44"/>
          <w:szCs w:val="44"/>
          <w:lang w:val="en" w:eastAsia="zh-CN"/>
        </w:rPr>
      </w:pPr>
      <w:r>
        <w:rPr>
          <w:rFonts w:hint="eastAsia" w:ascii="方正小标宋简体" w:hAnsi="方正小标宋简体" w:eastAsia="方正小标宋简体" w:cs="方正小标宋简体"/>
          <w:color w:val="262626"/>
          <w:kern w:val="0"/>
          <w:sz w:val="44"/>
          <w:szCs w:val="44"/>
          <w:lang w:val="en" w:eastAsia="zh-CN"/>
        </w:rPr>
        <w:t>济源市生态环境局</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262626"/>
          <w:kern w:val="0"/>
          <w:sz w:val="44"/>
          <w:szCs w:val="44"/>
          <w:lang w:val="en" w:eastAsia="zh-CN"/>
        </w:rPr>
      </w:pPr>
      <w:r>
        <w:rPr>
          <w:rFonts w:hint="eastAsia" w:ascii="方正小标宋简体" w:hAnsi="方正小标宋简体" w:eastAsia="方正小标宋简体" w:cs="方正小标宋简体"/>
          <w:color w:val="262626"/>
          <w:kern w:val="0"/>
          <w:sz w:val="44"/>
          <w:szCs w:val="44"/>
          <w:lang w:val="en" w:eastAsia="zh-CN"/>
        </w:rPr>
        <w:t>关于河南柏源新材料有限公司</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262626"/>
          <w:kern w:val="0"/>
          <w:sz w:val="44"/>
          <w:szCs w:val="44"/>
          <w:lang w:val="en-US" w:eastAsia="zh-CN"/>
        </w:rPr>
      </w:pPr>
      <w:r>
        <w:rPr>
          <w:rFonts w:hint="eastAsia" w:ascii="方正小标宋简体" w:hAnsi="方正小标宋简体" w:eastAsia="方正小标宋简体" w:cs="方正小标宋简体"/>
          <w:color w:val="262626"/>
          <w:kern w:val="0"/>
          <w:sz w:val="44"/>
          <w:szCs w:val="44"/>
          <w:lang w:val="en-US" w:eastAsia="zh-CN"/>
        </w:rPr>
        <w:t>年加工100吨高端电器零配件项目迁建</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262626"/>
          <w:kern w:val="0"/>
          <w:sz w:val="44"/>
          <w:szCs w:val="44"/>
        </w:rPr>
      </w:pPr>
      <w:r>
        <w:rPr>
          <w:rFonts w:hint="eastAsia" w:ascii="方正小标宋简体" w:hAnsi="方正小标宋简体" w:eastAsia="方正小标宋简体" w:cs="方正小标宋简体"/>
          <w:color w:val="262626"/>
          <w:kern w:val="0"/>
          <w:sz w:val="44"/>
          <w:szCs w:val="44"/>
          <w:lang w:val="en" w:eastAsia="zh-CN"/>
        </w:rPr>
        <w:t>环境影响报告表的批复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cs="仿宋_GB2312"/>
          <w:szCs w:val="32"/>
          <w:lang w:val="en"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cs="仿宋_GB2312"/>
          <w:szCs w:val="32"/>
          <w:lang w:val="en" w:eastAsia="zh-CN"/>
        </w:rPr>
      </w:pPr>
      <w:r>
        <w:rPr>
          <w:rFonts w:hint="eastAsia" w:ascii="仿宋_GB2312" w:hAnsi="仿宋_GB2312" w:cs="仿宋_GB2312"/>
          <w:szCs w:val="32"/>
          <w:lang w:val="en" w:eastAsia="zh-CN"/>
        </w:rPr>
        <w:t>河南柏源新材料有限公司</w:t>
      </w:r>
      <w:r>
        <w:rPr>
          <w:rFonts w:hint="eastAsia" w:ascii="仿宋_GB2312" w:hAnsi="仿宋_GB2312" w:cs="仿宋_GB231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 w:eastAsia="zh-CN"/>
        </w:rPr>
        <w:t>你单位（统一社会信用代码：</w:t>
      </w:r>
      <w:r>
        <w:rPr>
          <w:rFonts w:hint="eastAsia" w:ascii="仿宋_GB2312" w:hAnsi="仿宋_GB2312" w:cs="仿宋_GB2312"/>
          <w:szCs w:val="32"/>
          <w:lang w:val="en-US" w:eastAsia="zh-CN"/>
        </w:rPr>
        <w:t>91419001MAD4XLMA3A</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 w:eastAsia="zh-CN"/>
        </w:rPr>
        <w:t>报送的</w:t>
      </w:r>
      <w:r>
        <w:rPr>
          <w:rFonts w:hint="eastAsia" w:ascii="仿宋_GB2312" w:hAnsi="仿宋_GB2312" w:cs="仿宋_GB2312"/>
          <w:sz w:val="32"/>
          <w:szCs w:val="32"/>
          <w:lang w:val="en" w:eastAsia="zh-CN"/>
        </w:rPr>
        <w:t>由河南济环环保科技有限公司孔静</w:t>
      </w:r>
      <w:r>
        <w:rPr>
          <w:rFonts w:hint="eastAsia" w:ascii="仿宋_GB2312" w:hAnsi="仿宋_GB2312" w:cs="仿宋_GB2312"/>
          <w:sz w:val="32"/>
          <w:szCs w:val="32"/>
          <w:lang w:val="en-US" w:eastAsia="zh-CN"/>
        </w:rPr>
        <w:t>主持编制的《</w:t>
      </w:r>
      <w:r>
        <w:rPr>
          <w:rFonts w:hint="eastAsia" w:ascii="仿宋_GB2312" w:hAnsi="仿宋_GB2312" w:cs="仿宋_GB2312"/>
          <w:sz w:val="32"/>
          <w:szCs w:val="32"/>
          <w:lang w:val="en" w:eastAsia="zh-CN"/>
        </w:rPr>
        <w:t>河南柏源新材料有限公司年加工100吨高端电器零配件项目</w:t>
      </w:r>
      <w:r>
        <w:rPr>
          <w:rFonts w:hint="eastAsia" w:ascii="仿宋_GB2312" w:hAnsi="仿宋_GB2312" w:cs="仿宋_GB2312"/>
          <w:sz w:val="32"/>
          <w:szCs w:val="32"/>
          <w:lang w:val="en-US" w:eastAsia="zh-CN"/>
        </w:rPr>
        <w:t>迁建</w:t>
      </w:r>
      <w:r>
        <w:rPr>
          <w:rFonts w:hint="eastAsia" w:ascii="仿宋_GB2312" w:hAnsi="仿宋_GB2312" w:eastAsia="仿宋_GB2312" w:cs="仿宋_GB2312"/>
          <w:szCs w:val="32"/>
          <w:lang w:val="en-US" w:eastAsia="zh-CN"/>
        </w:rPr>
        <w:t>环境影响评价报告表》</w:t>
      </w:r>
      <w:r>
        <w:rPr>
          <w:rFonts w:hint="eastAsia" w:ascii="仿宋_GB2312" w:hAnsi="仿宋_GB2312" w:eastAsia="仿宋_GB2312" w:cs="仿宋_GB2312"/>
          <w:szCs w:val="32"/>
        </w:rPr>
        <w:t>（以下简称《报告表》）及行政审批申请等资料收悉，项目环评审批事项已在我局网站公示期满。根据《中华人民共和国环境保护法》《中华人民共和国行政许可法》《中华人民共和国环境影响评价法》《建设项目环境保护管理条例》等法律法规，经研究，批复如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项目建设性质为迁建，位于济源高新技术产业开发区天坛创业园C区厂房内。采用铜锭、银锭、锡锭为原料，通过熔化、加热、轧制等工艺生产铜合金材料、银合金材料。主要设备为真空熔炼炉、热处理炉、轧机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szCs w:val="32"/>
          <w:lang w:eastAsia="zh-CN"/>
        </w:rPr>
        <w:t>二、</w:t>
      </w:r>
      <w:r>
        <w:rPr>
          <w:rFonts w:hint="eastAsia" w:ascii="仿宋_GB2312" w:hAnsi="仿宋_GB2312" w:eastAsia="仿宋_GB2312" w:cs="仿宋_GB2312"/>
          <w:szCs w:val="32"/>
        </w:rPr>
        <w:t>该《报告表》内容符合国家有关法律法规要求和建设项目环境管理规定，符合生态环境分区管控要求，符合所在园区规划环评要求，评价结论可信。我局批准该《报告表》，原则同意你单位按照《报告表》所列项目的建设内容和环境保护对策措施进行项目建设</w:t>
      </w:r>
      <w:r>
        <w:rPr>
          <w:rFonts w:hint="eastAsia" w:ascii="仿宋_GB2312" w:hAnsi="仿宋_GB2312" w:cs="仿宋_GB2312"/>
          <w:szCs w:val="32"/>
          <w:lang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cs="仿宋_GB2312"/>
          <w:szCs w:val="32"/>
          <w:lang w:val="en-US" w:eastAsia="zh-CN"/>
        </w:rPr>
        <w:t>三、</w:t>
      </w:r>
      <w:r>
        <w:rPr>
          <w:rFonts w:hint="eastAsia" w:ascii="仿宋_GB2312" w:hAnsi="仿宋_GB2312" w:eastAsia="仿宋_GB2312" w:cs="仿宋_GB2312"/>
          <w:szCs w:val="32"/>
          <w:lang w:val="en-US" w:eastAsia="zh-CN"/>
        </w:rPr>
        <w:t>你单位应向社会公众主动公开已经批准的《报告表》，接受相关方的垂询。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四</w:t>
      </w:r>
      <w:r>
        <w:rPr>
          <w:rFonts w:hint="eastAsia" w:ascii="仿宋_GB2312" w:hAnsi="仿宋_GB2312" w:eastAsia="仿宋_GB2312" w:cs="仿宋_GB2312"/>
          <w:szCs w:val="32"/>
        </w:rPr>
        <w:t>、你单位应全面落实《报告表》提出的各项环境保护措施，各项环境保护设施与主体工程同时设计、同时施工、同时投入使用，确保各项污染物达标排放。</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（一）向设计单位提供《报告表》和本批复文件，确保项目设计按照环境保护设计规范要求，落实防治环境污染和生态破坏的措施。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lang w:eastAsia="zh-CN"/>
        </w:rPr>
        <w:t>）项目运行时，外排污染物应满足如下要求：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w:t>
      </w:r>
      <w:r>
        <w:rPr>
          <w:rFonts w:hint="eastAsia" w:ascii="仿宋_GB2312" w:hAnsi="仿宋_GB2312" w:eastAsia="仿宋_GB2312" w:cs="仿宋_GB2312"/>
          <w:kern w:val="2"/>
          <w:sz w:val="32"/>
          <w:szCs w:val="32"/>
          <w:lang w:val="en-US" w:eastAsia="zh-CN" w:bidi="ar-SA"/>
        </w:rPr>
        <w:t>废气。</w:t>
      </w:r>
      <w:r>
        <w:rPr>
          <w:rFonts w:hint="eastAsia" w:ascii="仿宋_GB2312" w:hAnsi="仿宋_GB2312" w:eastAsia="仿宋_GB2312" w:cs="仿宋_GB2312"/>
          <w:sz w:val="32"/>
          <w:szCs w:val="32"/>
          <w:lang w:val="en-US" w:eastAsia="zh-CN"/>
        </w:rPr>
        <w:t>严格落实《报告表》提出的各项大气污染防治措施，加强生产过程的废气收集处理。</w:t>
      </w:r>
      <w:r>
        <w:rPr>
          <w:rFonts w:hint="eastAsia" w:ascii="仿宋_GB2312" w:hAnsi="仿宋_GB2312" w:eastAsia="仿宋_GB2312" w:cs="仿宋_GB2312"/>
          <w:sz w:val="32"/>
          <w:szCs w:val="32"/>
          <w:lang w:eastAsia="zh-CN"/>
        </w:rPr>
        <w:t>外排污染物须满足</w:t>
      </w:r>
      <w:r>
        <w:rPr>
          <w:rFonts w:hint="eastAsia" w:ascii="仿宋_GB2312" w:hAnsi="仿宋_GB2312" w:cs="仿宋_GB2312"/>
          <w:sz w:val="32"/>
          <w:szCs w:val="32"/>
          <w:lang w:eastAsia="zh-CN"/>
        </w:rPr>
        <w:t>《工业炉窑大气污染物排放标准》（DB41/1066—2020）</w:t>
      </w:r>
      <w:r>
        <w:rPr>
          <w:rFonts w:hint="eastAsia" w:ascii="仿宋_GB2312" w:hAnsi="仿宋_GB2312" w:cs="仿宋_GB2312"/>
          <w:kern w:val="2"/>
          <w:sz w:val="32"/>
          <w:szCs w:val="32"/>
          <w:lang w:val="en-US" w:eastAsia="zh-CN" w:bidi="ar-SA"/>
        </w:rPr>
        <w:t>限值要求</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2.废水。</w:t>
      </w:r>
      <w:r>
        <w:rPr>
          <w:rFonts w:hint="eastAsia" w:ascii="仿宋_GB2312" w:hAnsi="仿宋_GB2312" w:eastAsia="仿宋_GB2312" w:cs="仿宋_GB2312"/>
          <w:sz w:val="32"/>
          <w:szCs w:val="32"/>
          <w:lang w:val="en-US" w:eastAsia="zh-CN"/>
        </w:rPr>
        <w:t>严格落实水污染防治措施。</w:t>
      </w:r>
      <w:r>
        <w:rPr>
          <w:rFonts w:hint="eastAsia" w:ascii="仿宋_GB2312" w:hAnsi="仿宋_GB2312" w:cs="仿宋_GB2312"/>
          <w:sz w:val="32"/>
          <w:szCs w:val="32"/>
          <w:lang w:val="en-US" w:eastAsia="zh-CN"/>
        </w:rPr>
        <w:t>经处理后的生活污水和纯水制备产生的浓水经污水管网排入济源市第二污水处理厂深度处理，外排废水须满足《污水综合排放标准》（GB8978-1996）及济源市第二污水处理厂收水水质要求。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kern w:val="2"/>
          <w:sz w:val="32"/>
          <w:szCs w:val="32"/>
          <w:lang w:val="en-US" w:eastAsia="zh-CN" w:bidi="ar-SA"/>
        </w:rPr>
        <w:t>3.噪声。</w:t>
      </w:r>
      <w:r>
        <w:rPr>
          <w:rFonts w:hint="eastAsia" w:ascii="仿宋_GB2312" w:hAnsi="仿宋_GB2312" w:eastAsia="仿宋_GB2312" w:cs="仿宋_GB2312"/>
          <w:sz w:val="32"/>
          <w:szCs w:val="32"/>
          <w:lang w:val="en-US" w:eastAsia="zh-CN"/>
        </w:rPr>
        <w:t>严格落实噪声污染防治措施。营运期四周厂界噪声须满足《工业企业厂界环境噪声排放标准》（GB12348-2008）3类标准要求。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.固废。</w:t>
      </w:r>
      <w:r>
        <w:rPr>
          <w:rFonts w:hint="eastAsia" w:ascii="仿宋_GB2312" w:hAnsi="仿宋_GB2312" w:eastAsia="仿宋_GB2312" w:cs="仿宋_GB2312"/>
          <w:sz w:val="32"/>
          <w:szCs w:val="32"/>
          <w:lang w:val="en" w:eastAsia="zh-CN"/>
        </w:rPr>
        <w:t>严格落实《固体废物污染环境防治法》及《危险废物贮存污染控制标准》（GB18597-2023）要求，依据《报告表》内容，加强各类固体废物的管理，规范其收集、贮存、转运过程，并建立完善的日常管理台账，严防二次污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五、严格对照《河南省重污染天气通用行业应急减排措施制定技术指南》和济源示范区通用行业绩效分级指标体系</w:t>
      </w:r>
      <w:r>
        <w:rPr>
          <w:rFonts w:hint="eastAsia" w:ascii="仿宋_GB2312" w:hAnsi="仿宋_GB2312" w:cs="仿宋_GB2312"/>
          <w:sz w:val="32"/>
          <w:szCs w:val="32"/>
          <w:lang w:val="en-US" w:eastAsia="zh-CN"/>
        </w:rPr>
        <w:t>A级</w:t>
      </w:r>
      <w:r>
        <w:rPr>
          <w:rFonts w:hint="eastAsia" w:ascii="仿宋_GB2312" w:hAnsi="仿宋_GB2312" w:eastAsia="仿宋_GB2312" w:cs="仿宋_GB2312"/>
          <w:sz w:val="32"/>
          <w:szCs w:val="32"/>
          <w:lang w:val="en-US" w:eastAsia="zh-CN"/>
        </w:rPr>
        <w:t>要求，逐项落实到位。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cs="仿宋_GB2312"/>
          <w:szCs w:val="32"/>
          <w:lang w:eastAsia="zh-CN"/>
        </w:rPr>
        <w:t>六</w:t>
      </w:r>
      <w:r>
        <w:rPr>
          <w:rFonts w:hint="eastAsia" w:ascii="仿宋_GB2312" w:hAnsi="仿宋_GB2312" w:eastAsia="仿宋_GB2312" w:cs="仿宋_GB2312"/>
          <w:szCs w:val="32"/>
          <w:lang w:eastAsia="zh-CN"/>
        </w:rPr>
        <w:t>、</w:t>
      </w:r>
      <w:r>
        <w:rPr>
          <w:rFonts w:hint="eastAsia" w:ascii="仿宋_GB2312" w:hAnsi="仿宋_GB2312" w:cs="仿宋_GB2312"/>
          <w:szCs w:val="32"/>
          <w:lang w:val="en-US" w:eastAsia="zh-CN"/>
        </w:rPr>
        <w:t>项目须按要求落实各类环保设施，按有关标准要求设置排污口，并设立明显标志，主要监测点位按要求安装视频监控。严格落实排污许可制度，按要求变更排污许可手续。按规定实施竣工环境保护验收，经验收合格后方可正式投产</w:t>
      </w:r>
      <w:r>
        <w:rPr>
          <w:rFonts w:hint="eastAsia" w:ascii="仿宋_GB2312" w:hAnsi="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七</w:t>
      </w:r>
      <w:r>
        <w:rPr>
          <w:rFonts w:hint="eastAsia" w:ascii="仿宋_GB2312" w:hAnsi="仿宋_GB2312" w:eastAsia="仿宋_GB2312" w:cs="仿宋_GB2312"/>
          <w:sz w:val="32"/>
          <w:szCs w:val="32"/>
          <w:lang w:val="en-US" w:eastAsia="zh-CN"/>
        </w:rPr>
        <w:t>、按照报告制定的监测计划，定期对各类污染物进行监测，发布相关信息，发现问题及时采取整改措施。</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八</w:t>
      </w:r>
      <w:r>
        <w:rPr>
          <w:rFonts w:hint="eastAsia" w:ascii="仿宋_GB2312" w:hAnsi="仿宋_GB2312" w:eastAsia="仿宋_GB2312" w:cs="仿宋_GB2312"/>
          <w:sz w:val="32"/>
          <w:szCs w:val="32"/>
          <w:lang w:val="en-US" w:eastAsia="zh-CN"/>
        </w:rPr>
        <w:t>、本批复有效期为5年，如该项目逾期方开工建设，其环境影响报告文件应报我局重新审核。如项目建设发生重大变动，应重新进行环境影响评价。</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九</w:t>
      </w:r>
      <w:r>
        <w:rPr>
          <w:rFonts w:hint="eastAsia" w:ascii="仿宋_GB2312" w:hAnsi="仿宋_GB2312" w:eastAsia="仿宋_GB2312" w:cs="仿宋_GB2312"/>
          <w:sz w:val="32"/>
          <w:szCs w:val="32"/>
          <w:lang w:val="en-US" w:eastAsia="zh-CN"/>
        </w:rPr>
        <w:t>、今后国家或我省颁布严于本批复污染物排放限值的新标准，届时你公司应按新的排放标准执行。</w:t>
      </w:r>
    </w:p>
    <w:p>
      <w:pPr>
        <w:keepNext w:val="0"/>
        <w:keepLines w:val="0"/>
        <w:pageBreakBefore w:val="0"/>
        <w:widowControl w:val="0"/>
        <w:kinsoku/>
        <w:wordWrap/>
        <w:overflowPunct/>
        <w:topLinePunct w:val="0"/>
        <w:autoSpaceDE/>
        <w:autoSpaceDN/>
        <w:bidi w:val="0"/>
        <w:adjustRightInd/>
        <w:snapToGrid w:val="0"/>
        <w:spacing w:before="0" w:after="0"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jc w:val="center"/>
        <w:rPr>
          <w:rFonts w:hint="default" w:eastAsia="仿宋_GB2312"/>
          <w:lang w:val="en-US" w:eastAsia="zh-CN"/>
        </w:rPr>
      </w:pPr>
      <w:r>
        <w:rPr>
          <w:rFonts w:hint="eastAsia" w:ascii="仿宋_GB2312" w:hAnsi="仿宋_GB2312" w:cs="仿宋_GB2312"/>
          <w:color w:val="auto"/>
          <w:szCs w:val="32"/>
          <w:lang w:val="en-US" w:eastAsia="zh-CN"/>
        </w:rPr>
        <w:t xml:space="preserve">                     </w:t>
      </w:r>
      <w:r>
        <w:rPr>
          <w:rFonts w:hint="eastAsia" w:ascii="仿宋_GB2312" w:hAnsi="仿宋_GB2312" w:cs="仿宋_GB2312"/>
          <w:color w:val="auto"/>
          <w:szCs w:val="32"/>
        </w:rPr>
        <w:t>202</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cs="仿宋_GB2312"/>
          <w:color w:val="auto"/>
          <w:szCs w:val="32"/>
        </w:rPr>
        <w:t>月</w:t>
      </w:r>
      <w:r>
        <w:rPr>
          <w:rFonts w:hint="eastAsia" w:ascii="仿宋_GB2312" w:hAnsi="仿宋_GB2312" w:cs="仿宋_GB2312"/>
          <w:color w:val="auto"/>
          <w:szCs w:val="32"/>
          <w:highlight w:val="none"/>
          <w:lang w:val="en-US" w:eastAsia="zh-CN"/>
        </w:rPr>
        <w:t>31</w:t>
      </w:r>
      <w:r>
        <w:rPr>
          <w:rFonts w:hint="eastAsia" w:ascii="仿宋_GB2312" w:hAnsi="仿宋_GB2312" w:cs="仿宋_GB2312"/>
          <w:color w:val="auto"/>
          <w:szCs w:val="32"/>
          <w:highlight w:val="none"/>
        </w:rPr>
        <w:t>日</w:t>
      </w:r>
      <w:r>
        <w:rPr>
          <w:rFonts w:hint="eastAsia" w:ascii="仿宋_GB2312" w:hAnsi="仿宋_GB2312" w:cs="仿宋_GB2312"/>
          <w:color w:val="auto"/>
          <w:szCs w:val="32"/>
          <w:highlight w:val="none"/>
          <w:lang w:val="en-US" w:eastAsia="zh-CN"/>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F45A0"/>
    <w:multiLevelType w:val="singleLevel"/>
    <w:tmpl w:val="E2DF45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F66B6"/>
    <w:rsid w:val="041008DC"/>
    <w:rsid w:val="0F680922"/>
    <w:rsid w:val="0FCE5FE8"/>
    <w:rsid w:val="14C6790F"/>
    <w:rsid w:val="17614824"/>
    <w:rsid w:val="275B723E"/>
    <w:rsid w:val="2CC77F4C"/>
    <w:rsid w:val="32D74F8B"/>
    <w:rsid w:val="3B513775"/>
    <w:rsid w:val="3CE47669"/>
    <w:rsid w:val="489B27C5"/>
    <w:rsid w:val="52277CDB"/>
    <w:rsid w:val="5F4519CE"/>
    <w:rsid w:val="63443004"/>
    <w:rsid w:val="6F8FE834"/>
    <w:rsid w:val="777F5577"/>
    <w:rsid w:val="7D7EECBE"/>
    <w:rsid w:val="7F99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2026-03-25T16:46:00Z</dcterms:created>
  <dc:creator>jia</dc:creator>
  <cp:lastModifiedBy>greatwall</cp:lastModifiedBy>
  <dcterms:modified xsi:type="dcterms:W3CDTF">2026-03-31T08:53:47Z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C5F26599AC05456EAB7D207D3A84736F</vt:lpwstr>
  </property>
</Properties>
</file>