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AEACE"/>
  <w:body>
    <w:p w14:paraId="717C00CE">
      <w:pPr>
        <w:spacing w:line="560" w:lineRule="exact"/>
        <w:ind w:firstLine="640" w:firstLineChars="200"/>
        <w:rPr>
          <w:rFonts w:hint="eastAsia" w:ascii="仿宋_GB2312" w:hAnsi="仿宋_GB2312" w:cs="仿宋_GB2312"/>
          <w:szCs w:val="32"/>
        </w:rPr>
      </w:pPr>
    </w:p>
    <w:p w14:paraId="1F384855">
      <w:pPr>
        <w:spacing w:line="560" w:lineRule="exact"/>
        <w:ind w:firstLine="640" w:firstLineChars="200"/>
        <w:rPr>
          <w:rFonts w:hint="eastAsia" w:ascii="仿宋_GB2312" w:hAnsi="仿宋_GB2312" w:cs="仿宋_GB2312"/>
          <w:szCs w:val="32"/>
        </w:rPr>
      </w:pPr>
    </w:p>
    <w:p w14:paraId="0DD438DF">
      <w:pPr>
        <w:spacing w:line="560" w:lineRule="exact"/>
        <w:ind w:firstLine="640" w:firstLineChars="200"/>
        <w:rPr>
          <w:rFonts w:hint="eastAsia" w:ascii="仿宋_GB2312" w:hAnsi="仿宋_GB2312" w:cs="仿宋_GB2312"/>
          <w:szCs w:val="32"/>
        </w:rPr>
      </w:pPr>
    </w:p>
    <w:p w14:paraId="3CAD5E72">
      <w:pPr>
        <w:spacing w:line="560" w:lineRule="exact"/>
        <w:ind w:firstLine="640" w:firstLineChars="200"/>
        <w:rPr>
          <w:rFonts w:hint="eastAsia" w:ascii="仿宋_GB2312" w:hAnsi="仿宋_GB2312" w:cs="仿宋_GB2312"/>
          <w:szCs w:val="32"/>
        </w:rPr>
      </w:pPr>
    </w:p>
    <w:p w14:paraId="40B90682">
      <w:pPr>
        <w:spacing w:line="560" w:lineRule="exact"/>
        <w:ind w:firstLine="640" w:firstLineChars="200"/>
        <w:rPr>
          <w:rFonts w:hint="eastAsia" w:ascii="仿宋_GB2312" w:hAnsi="仿宋_GB2312" w:cs="仿宋_GB2312"/>
          <w:szCs w:val="32"/>
        </w:rPr>
      </w:pPr>
    </w:p>
    <w:p w14:paraId="3FD71786">
      <w:pPr>
        <w:wordWrap w:val="0"/>
        <w:spacing w:line="560" w:lineRule="exact"/>
        <w:jc w:val="right"/>
        <w:rPr>
          <w:rFonts w:hint="eastAsia" w:ascii="仿宋_GB2312" w:hAnsi="仿宋_GB2312" w:cs="仿宋_GB2312"/>
          <w:szCs w:val="32"/>
        </w:rPr>
      </w:pPr>
      <w:r>
        <w:rPr>
          <w:rFonts w:ascii="仿宋_GB2312" w:hAnsi="仿宋_GB2312" w:cs="仿宋_GB2312"/>
          <w:szCs w:val="32"/>
        </w:rPr>
        <w:t>济环审〔202</w:t>
      </w: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color w:val="auto"/>
          <w:szCs w:val="32"/>
          <w:highlight w:val="none"/>
          <w:lang w:val="en-US" w:eastAsia="zh-CN"/>
        </w:rPr>
        <w:t>10</w:t>
      </w:r>
      <w:r>
        <w:rPr>
          <w:rFonts w:ascii="仿宋_GB2312" w:hAnsi="仿宋_GB2312" w:cs="仿宋_GB2312"/>
          <w:szCs w:val="32"/>
        </w:rPr>
        <w:t>号</w:t>
      </w:r>
    </w:p>
    <w:p w14:paraId="456A5B5E">
      <w:pPr>
        <w:widowControl/>
        <w:spacing w:line="600" w:lineRule="exact"/>
        <w:jc w:val="center"/>
        <w:rPr>
          <w:rFonts w:hint="eastAsia" w:ascii="方正小标宋简体" w:hAnsi="方正小标宋简体" w:eastAsia="方正小标宋简体" w:cs="方正小标宋简体"/>
          <w:kern w:val="0"/>
          <w:sz w:val="44"/>
          <w:szCs w:val="44"/>
        </w:rPr>
      </w:pPr>
    </w:p>
    <w:p w14:paraId="0BF7021B">
      <w:pPr>
        <w:widowControl/>
        <w:spacing w:line="66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济源市生态环境局</w:t>
      </w:r>
    </w:p>
    <w:p w14:paraId="77132649">
      <w:pPr>
        <w:widowControl/>
        <w:spacing w:line="66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关于河南济源钢铁（集团）有限公司</w:t>
      </w:r>
    </w:p>
    <w:p w14:paraId="5CD2D465">
      <w:pPr>
        <w:widowControl/>
        <w:spacing w:line="66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连铸机及其他生产设备高端化更新升级</w:t>
      </w:r>
    </w:p>
    <w:p w14:paraId="31A688D3">
      <w:pPr>
        <w:widowControl/>
        <w:spacing w:line="66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改造工程</w:t>
      </w:r>
      <w:r>
        <w:rPr>
          <w:rFonts w:hint="eastAsia" w:ascii="方正小标宋简体" w:hAnsi="方正小标宋简体" w:eastAsia="方正小标宋简体" w:cs="方正小标宋简体"/>
          <w:kern w:val="0"/>
          <w:sz w:val="44"/>
          <w:szCs w:val="44"/>
          <w:lang w:eastAsia="zh-CN"/>
        </w:rPr>
        <w:t>生态</w:t>
      </w:r>
      <w:r>
        <w:rPr>
          <w:rFonts w:hint="eastAsia" w:ascii="方正小标宋简体" w:hAnsi="方正小标宋简体" w:eastAsia="方正小标宋简体" w:cs="方正小标宋简体"/>
          <w:kern w:val="0"/>
          <w:sz w:val="44"/>
          <w:szCs w:val="44"/>
        </w:rPr>
        <w:t>环境影响报告书的批复</w:t>
      </w:r>
    </w:p>
    <w:p w14:paraId="0821729F">
      <w:pPr>
        <w:snapToGrid w:val="0"/>
        <w:spacing w:line="560" w:lineRule="exact"/>
        <w:rPr>
          <w:rFonts w:hint="eastAsia" w:ascii="仿宋_GB2312" w:hAnsi="仿宋_GB2312" w:eastAsia="仿宋_GB2312" w:cs="仿宋_GB2312"/>
          <w:szCs w:val="32"/>
        </w:rPr>
      </w:pPr>
    </w:p>
    <w:p w14:paraId="07A05F0E">
      <w:pPr>
        <w:adjustRightInd w:val="0"/>
        <w:snapToGrid w:val="0"/>
        <w:spacing w:line="560" w:lineRule="exact"/>
        <w:rPr>
          <w:rFonts w:hint="eastAsia" w:ascii="仿宋_GB2312" w:hAnsi="仿宋_GB2312" w:eastAsia="仿宋_GB2312" w:cs="仿宋_GB2312"/>
          <w:szCs w:val="32"/>
        </w:rPr>
      </w:pPr>
      <w:r>
        <w:rPr>
          <w:rFonts w:hint="eastAsia" w:ascii="仿宋_GB2312" w:hAnsi="仿宋_GB2312" w:eastAsia="仿宋_GB2312" w:cs="仿宋_GB2312"/>
          <w:szCs w:val="32"/>
        </w:rPr>
        <w:t>河南济源钢铁（集团）有限公司：</w:t>
      </w:r>
    </w:p>
    <w:p w14:paraId="08A32411">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你单位（统一社会信用代码：914190011774704036）报送的由河南省冶金研究所有限责任公司赵燕主持编制的《河南济源钢铁（集团）有限公司连铸机及其他生产设备高端化更新升级改造工程</w:t>
      </w:r>
      <w:r>
        <w:rPr>
          <w:rFonts w:hint="eastAsia" w:ascii="仿宋_GB2312" w:hAnsi="仿宋_GB2312" w:eastAsia="仿宋_GB2312" w:cs="仿宋_GB2312"/>
          <w:szCs w:val="32"/>
          <w:lang w:eastAsia="zh-CN"/>
        </w:rPr>
        <w:t>生态</w:t>
      </w:r>
      <w:r>
        <w:rPr>
          <w:rFonts w:hint="eastAsia" w:ascii="仿宋_GB2312" w:hAnsi="仿宋_GB2312" w:eastAsia="仿宋_GB2312" w:cs="仿宋_GB2312"/>
          <w:szCs w:val="32"/>
        </w:rPr>
        <w:t>环境影响报告书》（以下简称《报告书》）及行政审批申请等资料收悉，项目环评审批事项已在我局网站公示期满。</w:t>
      </w:r>
      <w:r>
        <w:rPr>
          <w:rFonts w:hint="eastAsia" w:ascii="仿宋_GB2312" w:hAnsi="仿宋_GB2312" w:eastAsia="仿宋_GB2312" w:cs="仿宋_GB2312"/>
          <w:color w:val="auto"/>
          <w:szCs w:val="32"/>
        </w:rPr>
        <w:t>根据《中华人民共和国生态环境法典》《中华人民共和国行政许可法》《建设项目环境保护管理条例》等法律法规，经研究，批复如下：</w:t>
      </w:r>
    </w:p>
    <w:p w14:paraId="6E916C79">
      <w:pPr>
        <w:adjustRightInd w:val="0"/>
        <w:snapToGrid w:val="0"/>
        <w:spacing w:line="560" w:lineRule="exact"/>
        <w:ind w:firstLine="640" w:firstLineChars="200"/>
        <w:jc w:val="both"/>
        <w:rPr>
          <w:rFonts w:hint="eastAsia" w:ascii="仿宋_GB2312" w:hAnsi="仿宋_GB2312" w:eastAsia="仿宋_GB2312" w:cs="仿宋_GB2312"/>
          <w:highlight w:val="yellow"/>
        </w:rPr>
      </w:pPr>
      <w:r>
        <w:rPr>
          <w:rFonts w:hint="eastAsia" w:ascii="仿宋_GB2312" w:hAnsi="仿宋_GB2312" w:eastAsia="仿宋_GB2312" w:cs="仿宋_GB2312"/>
          <w:szCs w:val="32"/>
        </w:rPr>
        <w:t>一、项目</w:t>
      </w:r>
      <w:r>
        <w:rPr>
          <w:rFonts w:hint="eastAsia" w:ascii="仿宋_GB2312" w:hAnsi="仿宋_GB2312" w:eastAsia="仿宋_GB2312" w:cs="仿宋_GB2312"/>
          <w:szCs w:val="32"/>
          <w:lang w:eastAsia="zh-CN"/>
        </w:rPr>
        <w:t>位于</w:t>
      </w:r>
      <w:r>
        <w:rPr>
          <w:rFonts w:hint="eastAsia" w:ascii="仿宋_GB2312" w:hAnsi="仿宋_GB2312" w:eastAsia="仿宋_GB2312" w:cs="仿宋_GB2312"/>
          <w:szCs w:val="32"/>
        </w:rPr>
        <w:t>济源高新技术产业开发区河南济源钢铁（集团）有限公司现有厂区内，对现有部分设施进行更新改造，不新增钢铁产能。主要建设内容包括</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一炼钢厂2#连铸机</w:t>
      </w:r>
      <w:r>
        <w:rPr>
          <w:rFonts w:hint="eastAsia" w:ascii="仿宋_GB2312" w:hAnsi="仿宋_GB2312" w:eastAsia="仿宋_GB2312" w:cs="仿宋_GB2312"/>
          <w:szCs w:val="32"/>
          <w:lang w:eastAsia="zh-CN"/>
        </w:rPr>
        <w:t>系统部分</w:t>
      </w:r>
      <w:r>
        <w:rPr>
          <w:rFonts w:hint="eastAsia" w:ascii="仿宋_GB2312" w:hAnsi="仿宋_GB2312" w:eastAsia="仿宋_GB2312" w:cs="仿宋_GB2312"/>
          <w:szCs w:val="32"/>
        </w:rPr>
        <w:t>设备升级</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一、二炼钢厂及一轧钢厂新增退火炉</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一炼钢厂LF精炼段增设保温炉、合金融熔炉及配套上料系统</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2#</w:t>
      </w:r>
      <w:r>
        <w:rPr>
          <w:rFonts w:hint="eastAsia" w:ascii="仿宋_GB2312" w:hAnsi="仿宋_GB2312" w:cs="仿宋_GB2312"/>
          <w:szCs w:val="32"/>
          <w:lang w:val="en-US" w:eastAsia="zh-CN"/>
        </w:rPr>
        <w:t xml:space="preserve"> </w:t>
      </w:r>
      <w:r>
        <w:rPr>
          <w:rFonts w:hint="eastAsia" w:ascii="仿宋_GB2312" w:hAnsi="仿宋_GB2312" w:eastAsia="仿宋_GB2312" w:cs="仿宋_GB2312"/>
          <w:szCs w:val="32"/>
        </w:rPr>
        <w:t>RH炉区域新增真空</w:t>
      </w:r>
      <w:r>
        <w:rPr>
          <w:rFonts w:hint="eastAsia" w:ascii="仿宋_GB2312" w:hAnsi="仿宋_GB2312" w:cs="仿宋_GB2312"/>
          <w:szCs w:val="32"/>
          <w:lang w:eastAsia="zh-CN"/>
        </w:rPr>
        <w:t>系统装置等</w:t>
      </w:r>
      <w:r>
        <w:rPr>
          <w:rFonts w:hint="eastAsia" w:ascii="仿宋_GB2312" w:hAnsi="仿宋_GB2312" w:eastAsia="仿宋_GB2312" w:cs="仿宋_GB2312"/>
          <w:szCs w:val="32"/>
        </w:rPr>
        <w:t>。</w:t>
      </w:r>
    </w:p>
    <w:p w14:paraId="1301A422">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二、该《报告书》内容符合国家有关法律法规要求和建设项目环境管理规定，符合生态环境分区管控要求，符合所在开发区规划环评要求，评价结论可信。我局批准该《报告书》，原则同意你单位按照《报告书》所列项目的建设内容和环境保护对策措施进行项目建设。</w:t>
      </w:r>
    </w:p>
    <w:p w14:paraId="365C2DA2">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三、你单位应向社会公众主动公开已经批准的《报告书》，接受相关方的垂询。</w:t>
      </w:r>
    </w:p>
    <w:p w14:paraId="6067D3AB">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四、你单位应全面落实《报告书》提出的各项环境保护措施，各项环境保护设施与主体工程同时设计、同时施工、同时投入使用，确保各项污染物达标排放。</w:t>
      </w:r>
    </w:p>
    <w:p w14:paraId="5B503967">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（一）向设计单位提供《报告书》和本批复文件，确保项目设计按照环境保护设计规范要求，落实防治环境污染和生态破坏的措施。</w:t>
      </w:r>
    </w:p>
    <w:p w14:paraId="1B4DD329">
      <w:pPr>
        <w:adjustRightInd w:val="0"/>
        <w:snapToGrid w:val="0"/>
        <w:spacing w:line="54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（二）依据《报告书》和本批复文件，对项目建设过程中产生的废水、废气、固体废物、噪声等污染，以及因施工而对生态环境造成的破坏，采取相应的防治措施和生态环境影响减缓措施。</w:t>
      </w:r>
    </w:p>
    <w:p w14:paraId="1789EB30">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（三）项目运行时，外排污染物应满足如下要求：</w:t>
      </w:r>
    </w:p>
    <w:p w14:paraId="2B5DE548">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1.废气：项目应强化废气源头控制与全过程管理，提高废气收集效率，最大限度减少无组织排放。废气排放须满足《钢铁工业大气污染物排放标准》（DB41/1954-2020）相关限值要求。</w:t>
      </w:r>
    </w:p>
    <w:p w14:paraId="34FE7FB7">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2.废水：按照</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清污分流、分质处理、梯级利用</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原则，设立完善的废水收集、处理、回用系统。新增净环水系统排水全部回用，作为现有浊环水系统补水，替代部分新鲜水；新增浊环水</w:t>
      </w:r>
      <w:r>
        <w:rPr>
          <w:rFonts w:hint="eastAsia" w:ascii="仿宋_GB2312" w:hAnsi="仿宋_GB2312" w:cs="仿宋_GB2312"/>
          <w:szCs w:val="32"/>
          <w:lang w:eastAsia="zh-CN"/>
        </w:rPr>
        <w:t>经</w:t>
      </w:r>
      <w:r>
        <w:rPr>
          <w:rFonts w:hint="eastAsia" w:ascii="仿宋_GB2312" w:hAnsi="仿宋_GB2312" w:eastAsia="仿宋_GB2312" w:cs="仿宋_GB2312"/>
          <w:szCs w:val="32"/>
        </w:rPr>
        <w:t>处理后回用</w:t>
      </w:r>
      <w:r>
        <w:rPr>
          <w:rFonts w:hint="eastAsia" w:ascii="仿宋_GB2312" w:hAnsi="仿宋_GB2312" w:cs="仿宋_GB2312"/>
          <w:szCs w:val="32"/>
          <w:lang w:eastAsia="zh-CN"/>
        </w:rPr>
        <w:t>，</w:t>
      </w:r>
      <w:r>
        <w:rPr>
          <w:rFonts w:hint="eastAsia" w:ascii="仿宋_GB2312" w:hAnsi="仿宋_GB2312" w:eastAsia="仿宋_GB2312" w:cs="仿宋_GB2312"/>
          <w:szCs w:val="32"/>
        </w:rPr>
        <w:t>不外排。</w:t>
      </w:r>
      <w:r>
        <w:rPr>
          <w:rFonts w:hint="eastAsia" w:ascii="仿宋_GB2312" w:hAnsi="仿宋_GB2312" w:cs="仿宋_GB2312"/>
          <w:szCs w:val="32"/>
          <w:lang w:eastAsia="zh-CN"/>
        </w:rPr>
        <w:t>项目</w:t>
      </w:r>
      <w:r>
        <w:rPr>
          <w:rFonts w:hint="eastAsia" w:ascii="仿宋_GB2312" w:hAnsi="仿宋_GB2312" w:eastAsia="仿宋_GB2312" w:cs="仿宋_GB2312"/>
          <w:szCs w:val="32"/>
        </w:rPr>
        <w:t>实施后</w:t>
      </w:r>
      <w:r>
        <w:rPr>
          <w:rFonts w:hint="eastAsia" w:ascii="仿宋_GB2312" w:hAnsi="仿宋_GB2312" w:cs="仿宋_GB2312"/>
          <w:szCs w:val="32"/>
          <w:lang w:eastAsia="zh-CN"/>
        </w:rPr>
        <w:t>全厂</w:t>
      </w:r>
      <w:r>
        <w:rPr>
          <w:rFonts w:hint="eastAsia" w:ascii="仿宋_GB2312" w:hAnsi="仿宋_GB2312" w:eastAsia="仿宋_GB2312" w:cs="仿宋_GB2312"/>
          <w:szCs w:val="32"/>
        </w:rPr>
        <w:t>不新增废水</w:t>
      </w:r>
      <w:r>
        <w:rPr>
          <w:rFonts w:hint="eastAsia" w:ascii="仿宋_GB2312" w:hAnsi="仿宋_GB2312" w:cs="仿宋_GB2312"/>
          <w:szCs w:val="32"/>
          <w:lang w:eastAsia="zh-CN"/>
        </w:rPr>
        <w:t>排放</w:t>
      </w:r>
      <w:r>
        <w:rPr>
          <w:rFonts w:hint="eastAsia" w:ascii="仿宋_GB2312" w:hAnsi="仿宋_GB2312" w:eastAsia="仿宋_GB2312" w:cs="仿宋_GB2312"/>
          <w:szCs w:val="32"/>
        </w:rPr>
        <w:t>量。</w:t>
      </w:r>
    </w:p>
    <w:p w14:paraId="1495F821">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3.噪声：严格落实噪声污染防治措施。厂界噪声满足《工业企业厂界环境噪声排放标准》（GB12348-2008）3类标准要求，其中临交通干线</w:t>
      </w:r>
      <w:r>
        <w:rPr>
          <w:rFonts w:hint="eastAsia" w:ascii="仿宋_GB2312" w:hAnsi="仿宋_GB2312" w:eastAsia="仿宋_GB2312" w:cs="仿宋_GB2312"/>
          <w:szCs w:val="32"/>
          <w:lang w:eastAsia="zh-CN"/>
        </w:rPr>
        <w:t>处</w:t>
      </w:r>
      <w:r>
        <w:rPr>
          <w:rFonts w:hint="eastAsia" w:ascii="仿宋_GB2312" w:hAnsi="仿宋_GB2312" w:eastAsia="仿宋_GB2312" w:cs="仿宋_GB2312"/>
          <w:szCs w:val="32"/>
        </w:rPr>
        <w:t>厂界执行4类标准。</w:t>
      </w:r>
    </w:p>
    <w:p w14:paraId="7558B525">
      <w:pPr>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4.固废：按照</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减量化、资源化、无害化</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原则，落实各类固体废物的收集、处置和综合利用措施，健全固体废物管理台账。各类固体废物贮存、处置须满足《中华人民共和国生态环境法典》中工业固体废物污染防治相关要求及《危险废物贮存污染控制标准》（GB18597-2023）等要求，避免对环境造成二次污染。</w:t>
      </w:r>
    </w:p>
    <w:p w14:paraId="40AEF6FA">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（四）落实土壤及地下水污染防治</w:t>
      </w:r>
      <w:r>
        <w:rPr>
          <w:rFonts w:hint="eastAsia" w:ascii="仿宋_GB2312" w:hAnsi="仿宋_GB2312" w:eastAsia="仿宋_GB2312" w:cs="仿宋_GB2312"/>
          <w:szCs w:val="32"/>
          <w:lang w:eastAsia="zh-CN"/>
        </w:rPr>
        <w:t>要求</w:t>
      </w:r>
      <w:r>
        <w:rPr>
          <w:rFonts w:hint="eastAsia" w:ascii="仿宋_GB2312" w:hAnsi="仿宋_GB2312" w:eastAsia="仿宋_GB2312" w:cs="仿宋_GB2312"/>
          <w:szCs w:val="32"/>
        </w:rPr>
        <w:t>，采取源头控制、分区防渗等措施，加强厂区周边土壤</w:t>
      </w:r>
      <w:r>
        <w:rPr>
          <w:rFonts w:hint="eastAsia" w:ascii="仿宋_GB2312" w:hAnsi="仿宋_GB2312" w:eastAsia="仿宋_GB2312" w:cs="仿宋_GB2312"/>
          <w:szCs w:val="32"/>
          <w:lang w:eastAsia="zh-CN"/>
        </w:rPr>
        <w:t>及</w:t>
      </w:r>
      <w:r>
        <w:rPr>
          <w:rFonts w:hint="eastAsia" w:ascii="仿宋_GB2312" w:hAnsi="仿宋_GB2312" w:eastAsia="仿宋_GB2312" w:cs="仿宋_GB2312"/>
          <w:szCs w:val="32"/>
        </w:rPr>
        <w:t>地下水监控，严防土壤和地下水污染。</w:t>
      </w:r>
    </w:p>
    <w:p w14:paraId="645E5A2E">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（五）加强环境风险管理，落实《报告书》提出的环境风险防范措施，完善环境风险及事故应急预案，加强日常管理，严防环境污染事故发生。</w:t>
      </w:r>
    </w:p>
    <w:p w14:paraId="7C47E3BD">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五、落实《报告书》要求，项目</w:t>
      </w:r>
      <w:r>
        <w:rPr>
          <w:rFonts w:hint="eastAsia" w:ascii="仿宋_GB2312" w:hAnsi="仿宋_GB2312" w:eastAsia="仿宋_GB2312" w:cs="仿宋_GB2312"/>
          <w:szCs w:val="32"/>
          <w:lang w:eastAsia="zh-CN"/>
        </w:rPr>
        <w:t>须</w:t>
      </w:r>
      <w:r>
        <w:rPr>
          <w:rFonts w:hint="eastAsia" w:ascii="仿宋_GB2312" w:hAnsi="仿宋_GB2312" w:eastAsia="仿宋_GB2312" w:cs="仿宋_GB2312"/>
          <w:szCs w:val="32"/>
        </w:rPr>
        <w:t>对照重污染天气应急减排措施制定技术指南中钢铁行业A级企业绩效分级指标实施建设和</w:t>
      </w:r>
      <w:r>
        <w:rPr>
          <w:rFonts w:hint="eastAsia" w:ascii="仿宋_GB2312" w:hAnsi="仿宋_GB2312" w:eastAsia="仿宋_GB2312" w:cs="仿宋_GB2312"/>
          <w:szCs w:val="32"/>
          <w:lang w:eastAsia="zh-CN"/>
        </w:rPr>
        <w:t>运营</w:t>
      </w:r>
      <w:r>
        <w:rPr>
          <w:rFonts w:hint="eastAsia" w:ascii="仿宋_GB2312" w:hAnsi="仿宋_GB2312" w:eastAsia="仿宋_GB2312" w:cs="仿宋_GB2312"/>
          <w:szCs w:val="32"/>
        </w:rPr>
        <w:t>管理。</w:t>
      </w:r>
    </w:p>
    <w:p w14:paraId="15036D9F">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六、按国家有关规定设置规范的污染物排放口，并设置明显标志，按要求安装污染物排放自动监测设备。严格落实《报告书》相关环境监测计划，定期对各类污染物进行监测，依法公开相关信息，发现问题及时采取整改措施。</w:t>
      </w:r>
    </w:p>
    <w:p w14:paraId="6FEA86C4">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七、严格执行环保</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三同时</w:t>
      </w:r>
      <w:r>
        <w:rPr>
          <w:rFonts w:hint="eastAsia" w:ascii="仿宋_GB2312" w:hAnsi="仿宋_GB2312" w:eastAsia="仿宋_GB2312" w:cs="仿宋_GB2312"/>
          <w:szCs w:val="32"/>
          <w:lang w:eastAsia="zh-CN"/>
        </w:rPr>
        <w:t>”</w:t>
      </w:r>
      <w:r>
        <w:rPr>
          <w:rFonts w:hint="eastAsia" w:ascii="仿宋_GB2312" w:hAnsi="仿宋_GB2312" w:eastAsia="仿宋_GB2312" w:cs="仿宋_GB2312"/>
          <w:szCs w:val="32"/>
        </w:rPr>
        <w:t>制度，落实《报告书》提出的以新带老各项要求，对现有厂区存在的环境问题实施整改，依法办理排污许可手续，按规定程序实施竣工环境保护验收，经验收合格后方可正式投产。</w:t>
      </w:r>
    </w:p>
    <w:p w14:paraId="37F9AAD0">
      <w:pPr>
        <w:adjustRightInd w:val="0"/>
        <w:snapToGrid w:val="0"/>
        <w:spacing w:line="54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八、严格按照《关于河南济源钢铁（集团）有限公司连铸机及其他生产设备高端化更新升级改造工程污染物总量控制指标的函》（济环总量函〔2026〕14号），落实总量控制要求。</w:t>
      </w:r>
    </w:p>
    <w:p w14:paraId="4DD54552">
      <w:pPr>
        <w:adjustRightInd w:val="0"/>
        <w:snapToGrid w:val="0"/>
        <w:spacing w:line="540" w:lineRule="exact"/>
        <w:ind w:firstLine="640" w:firstLineChars="200"/>
        <w:jc w:val="both"/>
        <w:rPr>
          <w:rFonts w:hint="eastAsia" w:ascii="仿宋_GB2312" w:hAnsi="仿宋_GB2312" w:eastAsia="仿宋_GB2312" w:cs="仿宋_GB2312"/>
          <w:szCs w:val="32"/>
          <w:lang w:eastAsia="zh-CN"/>
        </w:rPr>
      </w:pPr>
      <w:r>
        <w:rPr>
          <w:rFonts w:hint="eastAsia" w:ascii="仿宋_GB2312" w:hAnsi="仿宋_GB2312" w:eastAsia="仿宋_GB2312" w:cs="仿宋_GB2312"/>
          <w:szCs w:val="32"/>
        </w:rPr>
        <w:t>九、</w:t>
      </w:r>
      <w:r>
        <w:rPr>
          <w:rFonts w:hint="eastAsia" w:ascii="仿宋_GB2312" w:hAnsi="仿宋_GB2312" w:cs="仿宋_GB2312"/>
          <w:szCs w:val="32"/>
          <w:lang w:eastAsia="zh-CN"/>
        </w:rPr>
        <w:t>《报告书》经批准后，自批准之日起超过五年方开工建设，你单位应当报我局重新审核；如发生重大变动，应当依法重新报批生态环境影响评价文件。</w:t>
      </w:r>
    </w:p>
    <w:p w14:paraId="1AC58452">
      <w:pPr>
        <w:adjustRightInd w:val="0"/>
        <w:snapToGrid w:val="0"/>
        <w:spacing w:line="560" w:lineRule="exact"/>
        <w:ind w:firstLine="640" w:firstLineChars="200"/>
        <w:jc w:val="both"/>
        <w:rPr>
          <w:rFonts w:hint="eastAsia" w:ascii="仿宋_GB2312" w:hAnsi="仿宋_GB2312" w:eastAsia="仿宋_GB2312" w:cs="仿宋_GB2312"/>
          <w:szCs w:val="32"/>
        </w:rPr>
      </w:pPr>
      <w:r>
        <w:rPr>
          <w:rFonts w:hint="eastAsia" w:ascii="仿宋_GB2312" w:hAnsi="仿宋_GB2312" w:eastAsia="仿宋_GB2312" w:cs="仿宋_GB2312"/>
          <w:szCs w:val="32"/>
        </w:rPr>
        <w:t>十、今后国家或我省颁布严于本批复污染物排放限值的新标准，届时你单位应按新的排放标准执行。</w:t>
      </w:r>
    </w:p>
    <w:p w14:paraId="57FF78CD">
      <w:pPr>
        <w:adjustRightInd w:val="0"/>
        <w:snapToGrid w:val="0"/>
        <w:spacing w:line="560" w:lineRule="exact"/>
        <w:ind w:firstLine="640" w:firstLineChars="200"/>
        <w:rPr>
          <w:rFonts w:hint="eastAsia" w:ascii="仿宋_GB2312" w:hAnsi="仿宋_GB2312" w:eastAsia="仿宋_GB2312" w:cs="仿宋_GB2312"/>
          <w:szCs w:val="32"/>
        </w:rPr>
      </w:pPr>
    </w:p>
    <w:p w14:paraId="3A22ECCC">
      <w:pPr>
        <w:adjustRightInd w:val="0"/>
        <w:snapToGrid w:val="0"/>
        <w:spacing w:line="560" w:lineRule="exact"/>
        <w:ind w:firstLine="640" w:firstLineChars="200"/>
        <w:rPr>
          <w:rFonts w:hint="eastAsia" w:ascii="仿宋_GB2312" w:hAnsi="仿宋_GB2312" w:eastAsia="仿宋_GB2312" w:cs="仿宋_GB2312"/>
          <w:szCs w:val="32"/>
        </w:rPr>
      </w:pPr>
    </w:p>
    <w:p w14:paraId="44653DA0">
      <w:pPr>
        <w:keepNext w:val="0"/>
        <w:keepLines w:val="0"/>
        <w:pageBreakBefore w:val="0"/>
        <w:widowControl w:val="0"/>
        <w:kinsoku/>
        <w:wordWrap/>
        <w:overflowPunct/>
        <w:topLinePunct w:val="0"/>
        <w:autoSpaceDE/>
        <w:autoSpaceDN/>
        <w:bidi w:val="0"/>
        <w:adjustRightInd w:val="0"/>
        <w:snapToGrid w:val="0"/>
        <w:spacing w:before="313" w:beforeLines="100" w:line="560" w:lineRule="exact"/>
        <w:jc w:val="center"/>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 xml:space="preserve"> </w:t>
      </w:r>
      <w:bookmarkStart w:id="0" w:name="_GoBack"/>
      <w:bookmarkEnd w:id="0"/>
      <w:r>
        <w:rPr>
          <w:rFonts w:hint="eastAsia" w:ascii="仿宋_GB2312" w:hAnsi="仿宋_GB2312" w:eastAsia="仿宋_GB2312" w:cs="仿宋_GB2312"/>
          <w:szCs w:val="32"/>
        </w:rPr>
        <w:t xml:space="preserve">                   2026年9月30日</w:t>
      </w:r>
      <w:r>
        <w:rPr>
          <w:rFonts w:hint="eastAsia" w:ascii="仿宋_GB2312" w:hAnsi="仿宋_GB2312" w:eastAsia="仿宋_GB2312" w:cs="仿宋_GB2312"/>
          <w:color w:val="FF0000"/>
          <w:szCs w:val="32"/>
        </w:rPr>
        <w:t xml:space="preserve"> </w:t>
      </w:r>
      <w:r>
        <w:rPr>
          <w:rFonts w:hint="eastAsia" w:ascii="仿宋_GB2312" w:hAnsi="仿宋_GB2312" w:eastAsia="仿宋_GB2312" w:cs="仿宋_GB231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script"/>
    <w:pitch w:val="default"/>
    <w:sig w:usb0="800002BF" w:usb1="184F6CF8" w:usb2="00000012" w:usb3="00000000" w:csb0="00160001" w:csb1="1203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yMjQ1MjJlZDQ4MGU1YzQyNGVmODhmNzVkYjRiMDQifQ=="/>
  </w:docVars>
  <w:rsids>
    <w:rsidRoot w:val="009D6731"/>
    <w:rsid w:val="000637F1"/>
    <w:rsid w:val="00184B20"/>
    <w:rsid w:val="001D4FB9"/>
    <w:rsid w:val="001E50E1"/>
    <w:rsid w:val="002756E4"/>
    <w:rsid w:val="002A178C"/>
    <w:rsid w:val="00341CC4"/>
    <w:rsid w:val="003846D4"/>
    <w:rsid w:val="00401C6C"/>
    <w:rsid w:val="00444988"/>
    <w:rsid w:val="00476956"/>
    <w:rsid w:val="004B2740"/>
    <w:rsid w:val="004E3540"/>
    <w:rsid w:val="005756DA"/>
    <w:rsid w:val="005C4799"/>
    <w:rsid w:val="00616B4A"/>
    <w:rsid w:val="00621026"/>
    <w:rsid w:val="00625A72"/>
    <w:rsid w:val="006A7C0F"/>
    <w:rsid w:val="006E2B61"/>
    <w:rsid w:val="00790523"/>
    <w:rsid w:val="00835F53"/>
    <w:rsid w:val="00860500"/>
    <w:rsid w:val="00891249"/>
    <w:rsid w:val="00940D30"/>
    <w:rsid w:val="009D6731"/>
    <w:rsid w:val="00AC0BA4"/>
    <w:rsid w:val="00C12CA0"/>
    <w:rsid w:val="00C4566F"/>
    <w:rsid w:val="00CF2EC5"/>
    <w:rsid w:val="00DC6F7A"/>
    <w:rsid w:val="00E6566C"/>
    <w:rsid w:val="00EA21B5"/>
    <w:rsid w:val="00F21223"/>
    <w:rsid w:val="00F26B39"/>
    <w:rsid w:val="00F361EC"/>
    <w:rsid w:val="00FC509B"/>
    <w:rsid w:val="00FD2FFE"/>
    <w:rsid w:val="00FD5695"/>
    <w:rsid w:val="00FE1028"/>
    <w:rsid w:val="00FF6065"/>
    <w:rsid w:val="01212093"/>
    <w:rsid w:val="04836323"/>
    <w:rsid w:val="04D46B3B"/>
    <w:rsid w:val="05E15E58"/>
    <w:rsid w:val="06FF3E09"/>
    <w:rsid w:val="0A960962"/>
    <w:rsid w:val="0F70383F"/>
    <w:rsid w:val="153622D5"/>
    <w:rsid w:val="1AAA57BA"/>
    <w:rsid w:val="1D570900"/>
    <w:rsid w:val="1FC702E1"/>
    <w:rsid w:val="20C602D3"/>
    <w:rsid w:val="22072167"/>
    <w:rsid w:val="24B7634F"/>
    <w:rsid w:val="2579116C"/>
    <w:rsid w:val="257F031C"/>
    <w:rsid w:val="267BA792"/>
    <w:rsid w:val="276930F2"/>
    <w:rsid w:val="299A1C85"/>
    <w:rsid w:val="2B827534"/>
    <w:rsid w:val="2D06091B"/>
    <w:rsid w:val="31002765"/>
    <w:rsid w:val="36FE2A64"/>
    <w:rsid w:val="3BF10EB2"/>
    <w:rsid w:val="3ED3E104"/>
    <w:rsid w:val="47C65C99"/>
    <w:rsid w:val="4AF63E51"/>
    <w:rsid w:val="4C3E1A99"/>
    <w:rsid w:val="4DC424F6"/>
    <w:rsid w:val="4EDE6D6B"/>
    <w:rsid w:val="508C759D"/>
    <w:rsid w:val="57B59BDD"/>
    <w:rsid w:val="5BD4863C"/>
    <w:rsid w:val="5CF23B4E"/>
    <w:rsid w:val="5F9000D9"/>
    <w:rsid w:val="620C23B5"/>
    <w:rsid w:val="63515AC1"/>
    <w:rsid w:val="662463D7"/>
    <w:rsid w:val="66CF5AAE"/>
    <w:rsid w:val="68746DC1"/>
    <w:rsid w:val="692D6F40"/>
    <w:rsid w:val="698A44E3"/>
    <w:rsid w:val="69CB13AE"/>
    <w:rsid w:val="69D1357C"/>
    <w:rsid w:val="6A4151C4"/>
    <w:rsid w:val="6BB460C7"/>
    <w:rsid w:val="6CDD8372"/>
    <w:rsid w:val="6F254179"/>
    <w:rsid w:val="6F7F8CFF"/>
    <w:rsid w:val="6FF39570"/>
    <w:rsid w:val="6FFB4786"/>
    <w:rsid w:val="72E045F8"/>
    <w:rsid w:val="73F71988"/>
    <w:rsid w:val="747D1734"/>
    <w:rsid w:val="75D19977"/>
    <w:rsid w:val="765D951E"/>
    <w:rsid w:val="775D48DF"/>
    <w:rsid w:val="77AD4104"/>
    <w:rsid w:val="78F82FF6"/>
    <w:rsid w:val="79982F8C"/>
    <w:rsid w:val="7B696311"/>
    <w:rsid w:val="7D8B6583"/>
    <w:rsid w:val="7DE322CB"/>
    <w:rsid w:val="7DEA4AB5"/>
    <w:rsid w:val="7F6F8743"/>
    <w:rsid w:val="9FFFBA05"/>
    <w:rsid w:val="AAEB4F98"/>
    <w:rsid w:val="AFED3B06"/>
    <w:rsid w:val="C87F2305"/>
    <w:rsid w:val="D7FA0409"/>
    <w:rsid w:val="D87F9C54"/>
    <w:rsid w:val="DBDF6E01"/>
    <w:rsid w:val="DD6FBB4B"/>
    <w:rsid w:val="DE9B6234"/>
    <w:rsid w:val="DF5F2A87"/>
    <w:rsid w:val="DFADA66F"/>
    <w:rsid w:val="EE7E4637"/>
    <w:rsid w:val="EECBC687"/>
    <w:rsid w:val="EF6FB903"/>
    <w:rsid w:val="F8DF557C"/>
    <w:rsid w:val="F9EFDE13"/>
    <w:rsid w:val="FB8D49CB"/>
    <w:rsid w:val="FCAD3C93"/>
    <w:rsid w:val="FD1FACBA"/>
    <w:rsid w:val="FFBF32AE"/>
    <w:rsid w:val="FFF46CB0"/>
    <w:rsid w:val="FFFE9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cs="Arial"/>
      <w:sz w:val="24"/>
    </w:rPr>
  </w:style>
  <w:style w:type="paragraph" w:styleId="3">
    <w:name w:val="Body Text"/>
    <w:basedOn w:val="1"/>
    <w:link w:val="13"/>
    <w:qFormat/>
    <w:uiPriority w:val="0"/>
    <w:pPr>
      <w:spacing w:after="120"/>
    </w:pPr>
  </w:style>
  <w:style w:type="paragraph" w:styleId="4">
    <w:name w:val="Plain Text"/>
    <w:basedOn w:val="1"/>
    <w:qFormat/>
    <w:uiPriority w:val="0"/>
    <w:rPr>
      <w:rFonts w:hAnsi="Courier New" w:cs="Courier New"/>
      <w:szCs w:val="21"/>
    </w:rPr>
  </w:style>
  <w:style w:type="paragraph" w:styleId="5">
    <w:name w:val="Body Text Indent 2"/>
    <w:basedOn w:val="1"/>
    <w:next w:val="1"/>
    <w:unhideWhenUsed/>
    <w:qFormat/>
    <w:uiPriority w:val="99"/>
    <w:pPr>
      <w:spacing w:after="120" w:line="480" w:lineRule="auto"/>
      <w:ind w:left="420" w:leftChars="200"/>
    </w:p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eastAsia="宋体" w:cs="宋体"/>
      <w:kern w:val="0"/>
      <w:sz w:val="24"/>
    </w:rPr>
  </w:style>
  <w:style w:type="character" w:customStyle="1" w:styleId="11">
    <w:name w:val="页眉 字符"/>
    <w:basedOn w:val="10"/>
    <w:link w:val="7"/>
    <w:qFormat/>
    <w:uiPriority w:val="0"/>
    <w:rPr>
      <w:rFonts w:ascii="宋体" w:hAnsi="宋体" w:eastAsia="仿宋_GB2312" w:cs="Times New Roman"/>
      <w:kern w:val="2"/>
      <w:sz w:val="18"/>
      <w:szCs w:val="18"/>
    </w:rPr>
  </w:style>
  <w:style w:type="character" w:customStyle="1" w:styleId="12">
    <w:name w:val="页脚 字符"/>
    <w:basedOn w:val="10"/>
    <w:link w:val="6"/>
    <w:qFormat/>
    <w:uiPriority w:val="0"/>
    <w:rPr>
      <w:rFonts w:ascii="宋体" w:hAnsi="宋体" w:eastAsia="仿宋_GB2312" w:cs="Times New Roman"/>
      <w:kern w:val="2"/>
      <w:sz w:val="18"/>
      <w:szCs w:val="18"/>
    </w:rPr>
  </w:style>
  <w:style w:type="character" w:customStyle="1" w:styleId="13">
    <w:name w:val="正文文本 字符"/>
    <w:basedOn w:val="10"/>
    <w:link w:val="3"/>
    <w:qFormat/>
    <w:uiPriority w:val="0"/>
    <w:rPr>
      <w:rFonts w:ascii="宋体" w:hAnsi="宋体" w:eastAsia="仿宋_GB2312" w:cs="Times New Roman"/>
      <w:kern w:val="2"/>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1749</Words>
  <Characters>1821</Characters>
  <Lines>14</Lines>
  <Paragraphs>3</Paragraphs>
  <TotalTime>42</TotalTime>
  <ScaleCrop>false</ScaleCrop>
  <LinksUpToDate>false</LinksUpToDate>
  <CharactersWithSpaces>1850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2026-07-18T07:42:00Z</dcterms:created>
  <dc:creator>jia</dc:creator>
  <cp:lastModifiedBy>优恩K</cp:lastModifiedBy>
  <cp:lastPrinted>2026-07-23T09:54:00Z</cp:lastPrinted>
  <dcterms:modified xsi:type="dcterms:W3CDTF">2026-09-30T02:03:45Z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5C74353C58DA4B739876D2B8D0F6F022</vt:lpwstr>
  </property>
  <property fmtid="{D5CDD505-2E9C-101B-9397-08002B2CF9AE}" pid="4" name="KSOTemplateDocerSaveRecord">
    <vt:lpwstr>eyJoZGlkIjoiZmVkZGUwMjVlZDZjNGFjZDU5YTQ0MzJhZjM4YzljZTEiLCJ1c2VySWQiOiI5NzA2ODkwMTYifQ==</vt:lpwstr>
  </property>
</Properties>
</file>