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65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65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65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65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65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firstLine="4875" w:firstLineChars="1500"/>
        <w:textAlignment w:val="auto"/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济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</w:rPr>
        <w:t>环评审〔202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</w:rPr>
        <w:t>〕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  <w:t>济源市生态环境局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河南济源郊区裴苑220千伏变电站110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千伏间隔扩建工程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10" w:firstLineChars="200"/>
        <w:jc w:val="center"/>
        <w:textAlignment w:val="auto"/>
        <w:rPr>
          <w:rFonts w:hint="eastAsia" w:ascii="宋体" w:hAnsi="宋体" w:eastAsia="仿宋" w:cs="仿宋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国网河南省电力公司济源供电公司：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你公司（统一社会信用代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码：91419001780544016W）报送的由</w:t>
      </w: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  <w:t>河南莱嘉环境技术有限公司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编制的《河南济源郊区裴苑220千伏变电站110千伏间隔扩建工程建设项目环境影响报告表（</w:t>
      </w: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报批版）（以下简称《报告表》）收悉，</w:t>
      </w:r>
      <w:r>
        <w:rPr>
          <w:rFonts w:hint="default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经审查，依据《环境影响评价法》规定，</w:t>
      </w: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default" w:ascii="Nimbus Roman" w:hAnsi="Nimbus Roman" w:eastAsia="仿宋" w:cs="Nimbus Roman"/>
          <w:i w:val="0"/>
          <w:caps w:val="0"/>
          <w:color w:val="000000"/>
          <w:spacing w:val="0"/>
          <w:sz w:val="32"/>
          <w:szCs w:val="32"/>
        </w:rPr>
        <w:t>一</w:t>
      </w:r>
      <w:r>
        <w:rPr>
          <w:rFonts w:hint="default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、根据该项目《</w:t>
      </w: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报告表》分析结论及技术审查意见，我局批准该项目《报告表》，原则同意你公司按照《报告表》中所列项目的性质、规模、地点、采用的生产工艺和环境保护对策措施进行建设。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" w:eastAsia="zh-CN" w:bidi="ar-SA"/>
        </w:rPr>
      </w:pP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" w:eastAsia="zh-CN" w:bidi="ar-SA"/>
        </w:rPr>
        <w:t>二、项目建设内容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河南济源郊区裴苑220千伏变电站110千伏间隔扩建工程，位于河南省济源市五龙口镇休昌村北650m。项目建设内容包括：本期在裴苑220kV变电站站内110kV配电装置区预留位置扩建1个110kV出线间隔，占用北数第一出线间隔，不新增用地。项目性质为扩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该项目总投资229万元，环保投资15万元。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" w:eastAsia="zh-CN" w:bidi="ar-SA"/>
        </w:rPr>
        <w:t>三、</w:t>
      </w: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你公司应全面落实《报告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表</w:t>
      </w: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》提出的各项环境保护措施，各项环境保护设施与主体工程同时设计、同时施工、同时投入使用，确保各项污染物达</w:t>
      </w: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" w:eastAsia="zh-CN" w:bidi="ar-SA"/>
        </w:rPr>
        <w:t>标排放。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" w:eastAsia="zh-CN" w:bidi="ar-SA"/>
        </w:rPr>
        <w:t>重点要求如下：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" w:eastAsia="zh-CN" w:bidi="ar-SA"/>
        </w:rPr>
        <w:t>（一）加强施工期间的环境管理，落实各项生态保护和污染防治措施，尽量减少土地占用和植被的破坏。施工垃圾、弃渣和污水应集中、妥善处置；</w:t>
      </w: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  <w:t>要采取洒水、隔离等措施，防止扬尘、噪声污染环境。项目建成后，应及时恢复临时占地的植被和使用功能，防止水土流失。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</w:pP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  <w:t>（二）严格落实防治工频电场、工频磁场、噪声等环保措施，</w:t>
      </w:r>
      <w:r>
        <w:rPr>
          <w:rFonts w:hint="default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  <w:t>确保周围环境的工频电场强度、工频磁感应强度、噪声符合环境影响评价执行标准。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</w:pP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该项目产生的固废、危废应按</w:t>
      </w: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《报告表》中措施要求及国家标准</w:t>
      </w:r>
      <w:r>
        <w:rPr>
          <w:rFonts w:hint="default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规定进行处置。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default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  <w:t>四、</w:t>
      </w:r>
      <w:r>
        <w:rPr>
          <w:rFonts w:hint="default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该项目在建设过程中，必须认真执行环保“三同时”制度，项目建设完成后，须按规定程序实施竣工环境保护验收，验收合格后，方可正式投入运行。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</w:pP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五、如果今后国家或我省颁布新的标准，届时建设单位应按新标准执行。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</w:pP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  <w:t>六、建设及运营单位应建立并落实环保管理和监测制度，及时消除事故隐患，确保各项污染因子达到标准要求；制定详细的风险事故应急预案，确保发生事故时可及时得到妥善处理。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</w:pPr>
      <w:r>
        <w:rPr>
          <w:rFonts w:hint="eastAsia" w:ascii="Nimbus Roman" w:hAnsi="Nimbus Roman" w:eastAsia="仿宋" w:cs="Nimbus Roman"/>
          <w:i w:val="0"/>
          <w:caps w:val="0"/>
          <w:color w:val="000000"/>
          <w:spacing w:val="0"/>
          <w:kern w:val="0"/>
          <w:sz w:val="32"/>
          <w:szCs w:val="32"/>
          <w:lang w:val="en" w:eastAsia="zh-CN" w:bidi="ar-SA"/>
        </w:rPr>
        <w:t>七、本批复有效期五年。该项目自批复之日起五年后开工建设的，应报我局重新审核。本批复生效后，建设项目的地点、工艺、规模等发生重大变化时，应重新编制环境影响评价文件报我局审批。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4875" w:firstLineChars="15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firstLine="5200" w:firstLineChars="1600"/>
        <w:textAlignment w:val="auto"/>
        <w:rPr>
          <w:rFonts w:hint="default" w:ascii="宋体" w:hAnsi="宋体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2025年12月15日</w:t>
      </w:r>
    </w:p>
    <w:sectPr>
      <w:footerReference r:id="rId3" w:type="default"/>
      <w:pgSz w:w="11906" w:h="16838"/>
      <w:pgMar w:top="1871" w:right="1531" w:bottom="1701" w:left="1531" w:header="851" w:footer="1474" w:gutter="0"/>
      <w:pgNumType w:fmt="decimal"/>
      <w:cols w:space="0" w:num="1"/>
      <w:rtlGutter w:val="0"/>
      <w:docGrid w:type="linesAndChars" w:linePitch="457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">
    <w:altName w:val="DejaVu Math TeX Gyre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E8B5F"/>
    <w:multiLevelType w:val="singleLevel"/>
    <w:tmpl w:val="D4BE8B5F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8"/>
  <w:drawingGridVerticalSpacing w:val="22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DIwNjc4MmQ4NjVmMGFhMjc0ZTk5NmVkMTU1MjcifQ=="/>
  </w:docVars>
  <w:rsids>
    <w:rsidRoot w:val="00B77F93"/>
    <w:rsid w:val="00243AB7"/>
    <w:rsid w:val="0054687E"/>
    <w:rsid w:val="005D513C"/>
    <w:rsid w:val="00642C6A"/>
    <w:rsid w:val="006B6DC8"/>
    <w:rsid w:val="00796B4F"/>
    <w:rsid w:val="007F23DF"/>
    <w:rsid w:val="00B77F93"/>
    <w:rsid w:val="00C5509D"/>
    <w:rsid w:val="00D236C3"/>
    <w:rsid w:val="00D6572C"/>
    <w:rsid w:val="00E04BE6"/>
    <w:rsid w:val="00E84B4E"/>
    <w:rsid w:val="00FC3985"/>
    <w:rsid w:val="036939A6"/>
    <w:rsid w:val="037B1354"/>
    <w:rsid w:val="03B72CD9"/>
    <w:rsid w:val="03C158C5"/>
    <w:rsid w:val="03C34338"/>
    <w:rsid w:val="03FF3CEE"/>
    <w:rsid w:val="041978E2"/>
    <w:rsid w:val="07AB5E6F"/>
    <w:rsid w:val="07FC3A38"/>
    <w:rsid w:val="09BC423A"/>
    <w:rsid w:val="09D95604"/>
    <w:rsid w:val="0AF618DB"/>
    <w:rsid w:val="0F2F76C3"/>
    <w:rsid w:val="0F4F2DD5"/>
    <w:rsid w:val="113B67D6"/>
    <w:rsid w:val="11BC9E5D"/>
    <w:rsid w:val="11C85B96"/>
    <w:rsid w:val="12227F31"/>
    <w:rsid w:val="123D7114"/>
    <w:rsid w:val="134555C8"/>
    <w:rsid w:val="135765C5"/>
    <w:rsid w:val="13627D31"/>
    <w:rsid w:val="13B2303A"/>
    <w:rsid w:val="13D20C1A"/>
    <w:rsid w:val="13E92AE6"/>
    <w:rsid w:val="14581D1D"/>
    <w:rsid w:val="14BA5768"/>
    <w:rsid w:val="14F274BC"/>
    <w:rsid w:val="15F76FF7"/>
    <w:rsid w:val="15FC685A"/>
    <w:rsid w:val="164079F8"/>
    <w:rsid w:val="16497A9E"/>
    <w:rsid w:val="1650677A"/>
    <w:rsid w:val="166C7ACF"/>
    <w:rsid w:val="16845610"/>
    <w:rsid w:val="16CB3948"/>
    <w:rsid w:val="178A3625"/>
    <w:rsid w:val="17C4489D"/>
    <w:rsid w:val="1917716A"/>
    <w:rsid w:val="195D40F0"/>
    <w:rsid w:val="1A317582"/>
    <w:rsid w:val="1A9E5BFD"/>
    <w:rsid w:val="1B530684"/>
    <w:rsid w:val="1DED5C39"/>
    <w:rsid w:val="1DFF1D9D"/>
    <w:rsid w:val="21455BDB"/>
    <w:rsid w:val="21E521BF"/>
    <w:rsid w:val="22FB7E64"/>
    <w:rsid w:val="251A293E"/>
    <w:rsid w:val="282F769E"/>
    <w:rsid w:val="28336680"/>
    <w:rsid w:val="289A7210"/>
    <w:rsid w:val="28B20B65"/>
    <w:rsid w:val="294B4FF5"/>
    <w:rsid w:val="2A3B0C34"/>
    <w:rsid w:val="2A5745CE"/>
    <w:rsid w:val="2AA16D68"/>
    <w:rsid w:val="2ACB378A"/>
    <w:rsid w:val="2B2C188C"/>
    <w:rsid w:val="2B583039"/>
    <w:rsid w:val="2C832C9A"/>
    <w:rsid w:val="2CB3046B"/>
    <w:rsid w:val="2D203541"/>
    <w:rsid w:val="2D60300D"/>
    <w:rsid w:val="2DEC6288"/>
    <w:rsid w:val="2E244833"/>
    <w:rsid w:val="2E631EEB"/>
    <w:rsid w:val="2E6A6C8A"/>
    <w:rsid w:val="2F346EBE"/>
    <w:rsid w:val="300F4C85"/>
    <w:rsid w:val="30D16B4C"/>
    <w:rsid w:val="31251A88"/>
    <w:rsid w:val="31266039"/>
    <w:rsid w:val="31D87AC2"/>
    <w:rsid w:val="323830DA"/>
    <w:rsid w:val="32A912AB"/>
    <w:rsid w:val="32CF05D0"/>
    <w:rsid w:val="32D24539"/>
    <w:rsid w:val="32F931CE"/>
    <w:rsid w:val="33570844"/>
    <w:rsid w:val="337B5DF9"/>
    <w:rsid w:val="33BA4116"/>
    <w:rsid w:val="33CD57C3"/>
    <w:rsid w:val="33ED4EB2"/>
    <w:rsid w:val="34736B49"/>
    <w:rsid w:val="347D4AE5"/>
    <w:rsid w:val="34BF579D"/>
    <w:rsid w:val="35E87618"/>
    <w:rsid w:val="3669A6C0"/>
    <w:rsid w:val="37304D45"/>
    <w:rsid w:val="377973D7"/>
    <w:rsid w:val="39262C70"/>
    <w:rsid w:val="39F17A74"/>
    <w:rsid w:val="3B781469"/>
    <w:rsid w:val="3BC05AE3"/>
    <w:rsid w:val="3C0E5B7A"/>
    <w:rsid w:val="3C653FC1"/>
    <w:rsid w:val="3D78397A"/>
    <w:rsid w:val="3D9921E9"/>
    <w:rsid w:val="3FB33B68"/>
    <w:rsid w:val="3FF3E395"/>
    <w:rsid w:val="40D93493"/>
    <w:rsid w:val="4120332A"/>
    <w:rsid w:val="41D95AAE"/>
    <w:rsid w:val="450C0A6E"/>
    <w:rsid w:val="456333A7"/>
    <w:rsid w:val="45ED7A55"/>
    <w:rsid w:val="46E67B8B"/>
    <w:rsid w:val="47124301"/>
    <w:rsid w:val="472121F1"/>
    <w:rsid w:val="47337342"/>
    <w:rsid w:val="48AA34C1"/>
    <w:rsid w:val="48DF10BA"/>
    <w:rsid w:val="49B13A1F"/>
    <w:rsid w:val="49E03E90"/>
    <w:rsid w:val="4A3D6740"/>
    <w:rsid w:val="4A4E3497"/>
    <w:rsid w:val="4AD97B6D"/>
    <w:rsid w:val="4B3D0AB0"/>
    <w:rsid w:val="4B4375D1"/>
    <w:rsid w:val="4B4E1C69"/>
    <w:rsid w:val="4CC7005E"/>
    <w:rsid w:val="4CFB013B"/>
    <w:rsid w:val="4D572905"/>
    <w:rsid w:val="4E0E0098"/>
    <w:rsid w:val="4E502BEA"/>
    <w:rsid w:val="4F696748"/>
    <w:rsid w:val="4F7E7707"/>
    <w:rsid w:val="4FB51AD7"/>
    <w:rsid w:val="50A815C2"/>
    <w:rsid w:val="51805009"/>
    <w:rsid w:val="518A564D"/>
    <w:rsid w:val="51AFC0AE"/>
    <w:rsid w:val="51D33385"/>
    <w:rsid w:val="51E844F5"/>
    <w:rsid w:val="5202534F"/>
    <w:rsid w:val="525662F9"/>
    <w:rsid w:val="52D635E1"/>
    <w:rsid w:val="535B4866"/>
    <w:rsid w:val="538E1072"/>
    <w:rsid w:val="53B13F5A"/>
    <w:rsid w:val="53BA3281"/>
    <w:rsid w:val="545D4076"/>
    <w:rsid w:val="545F766F"/>
    <w:rsid w:val="54DC4D92"/>
    <w:rsid w:val="54F23DDC"/>
    <w:rsid w:val="564A319E"/>
    <w:rsid w:val="56E04BB3"/>
    <w:rsid w:val="570270AA"/>
    <w:rsid w:val="570D5AB6"/>
    <w:rsid w:val="579D0264"/>
    <w:rsid w:val="58601773"/>
    <w:rsid w:val="58B02464"/>
    <w:rsid w:val="58D90C65"/>
    <w:rsid w:val="599809A1"/>
    <w:rsid w:val="599A0F81"/>
    <w:rsid w:val="5A045E5A"/>
    <w:rsid w:val="5B24552F"/>
    <w:rsid w:val="5BE253B0"/>
    <w:rsid w:val="5CBB7397"/>
    <w:rsid w:val="5CCA17B2"/>
    <w:rsid w:val="5CEE1956"/>
    <w:rsid w:val="5D1B783D"/>
    <w:rsid w:val="5E7A4299"/>
    <w:rsid w:val="5F556E4F"/>
    <w:rsid w:val="5F73881E"/>
    <w:rsid w:val="5F742296"/>
    <w:rsid w:val="5F972819"/>
    <w:rsid w:val="5FB61D68"/>
    <w:rsid w:val="5FBB1646"/>
    <w:rsid w:val="60FC031A"/>
    <w:rsid w:val="61311D99"/>
    <w:rsid w:val="617078A5"/>
    <w:rsid w:val="618A6229"/>
    <w:rsid w:val="619145C5"/>
    <w:rsid w:val="62FD4B02"/>
    <w:rsid w:val="63611779"/>
    <w:rsid w:val="64E527E5"/>
    <w:rsid w:val="65EF347C"/>
    <w:rsid w:val="66587AA9"/>
    <w:rsid w:val="66F925F5"/>
    <w:rsid w:val="68CE774A"/>
    <w:rsid w:val="68F40765"/>
    <w:rsid w:val="68F43877"/>
    <w:rsid w:val="6907763F"/>
    <w:rsid w:val="6A0745B1"/>
    <w:rsid w:val="6ADC6C26"/>
    <w:rsid w:val="6B1D45FF"/>
    <w:rsid w:val="6B8D5175"/>
    <w:rsid w:val="6C5F7B6B"/>
    <w:rsid w:val="6CF21204"/>
    <w:rsid w:val="6E06626D"/>
    <w:rsid w:val="6F064303"/>
    <w:rsid w:val="6F066877"/>
    <w:rsid w:val="6FA8130B"/>
    <w:rsid w:val="6FB9760F"/>
    <w:rsid w:val="702E053E"/>
    <w:rsid w:val="705C6973"/>
    <w:rsid w:val="705F58BC"/>
    <w:rsid w:val="715B76F7"/>
    <w:rsid w:val="717FA202"/>
    <w:rsid w:val="72173D29"/>
    <w:rsid w:val="723662EB"/>
    <w:rsid w:val="73123AB7"/>
    <w:rsid w:val="736B6423"/>
    <w:rsid w:val="736F3612"/>
    <w:rsid w:val="74B40337"/>
    <w:rsid w:val="74BE2982"/>
    <w:rsid w:val="759967B6"/>
    <w:rsid w:val="75B49DC2"/>
    <w:rsid w:val="75B97FB1"/>
    <w:rsid w:val="75BA5318"/>
    <w:rsid w:val="75E2348A"/>
    <w:rsid w:val="7747788E"/>
    <w:rsid w:val="775F1FD7"/>
    <w:rsid w:val="7791337F"/>
    <w:rsid w:val="77B644B9"/>
    <w:rsid w:val="78C82A99"/>
    <w:rsid w:val="78D173E0"/>
    <w:rsid w:val="7ABF5456"/>
    <w:rsid w:val="7B37032E"/>
    <w:rsid w:val="7B3E4534"/>
    <w:rsid w:val="7D112C79"/>
    <w:rsid w:val="7D873BF1"/>
    <w:rsid w:val="7E7F8B19"/>
    <w:rsid w:val="7E861C88"/>
    <w:rsid w:val="7E870D11"/>
    <w:rsid w:val="7F452B80"/>
    <w:rsid w:val="7FBAEB3D"/>
    <w:rsid w:val="BBE81E36"/>
    <w:rsid w:val="BDFD2B2F"/>
    <w:rsid w:val="BFB3B0AF"/>
    <w:rsid w:val="CDFF68F8"/>
    <w:rsid w:val="DF9246A2"/>
    <w:rsid w:val="DFE53CF1"/>
    <w:rsid w:val="EABF091D"/>
    <w:rsid w:val="EF7BE05D"/>
    <w:rsid w:val="F5FFCE4D"/>
    <w:rsid w:val="FCEF8636"/>
    <w:rsid w:val="FD7F0C70"/>
    <w:rsid w:val="FE297F00"/>
    <w:rsid w:val="FFB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kern w:val="44"/>
      <w:sz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qFormat/>
    <w:uiPriority w:val="0"/>
    <w:pPr>
      <w:widowControl w:val="0"/>
      <w:adjustRightInd/>
      <w:snapToGrid/>
      <w:spacing w:after="0"/>
      <w:ind w:left="420" w:leftChars="200"/>
      <w:jc w:val="both"/>
    </w:pPr>
    <w:rPr>
      <w:rFonts w:ascii="Times New Roman" w:hAnsi="Times New Roman" w:eastAsia="仿宋_GB2312"/>
      <w:kern w:val="2"/>
      <w:sz w:val="28"/>
      <w:szCs w:val="24"/>
    </w:r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2"/>
    <w:qFormat/>
    <w:uiPriority w:val="0"/>
    <w:rPr>
      <w:rFonts w:eastAsia="仿宋_GB2312"/>
      <w:sz w:val="28"/>
    </w:rPr>
  </w:style>
  <w:style w:type="paragraph" w:styleId="10">
    <w:name w:val="Body Text First Indent 2"/>
    <w:basedOn w:val="4"/>
    <w:next w:val="9"/>
    <w:qFormat/>
    <w:uiPriority w:val="0"/>
    <w:pPr>
      <w:ind w:firstLine="20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Body text|1"/>
    <w:basedOn w:val="1"/>
    <w:qFormat/>
    <w:uiPriority w:val="0"/>
    <w:pPr>
      <w:spacing w:line="454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962</Words>
  <Characters>1015</Characters>
  <Lines>36</Lines>
  <Paragraphs>10</Paragraphs>
  <TotalTime>34</TotalTime>
  <ScaleCrop>false</ScaleCrop>
  <LinksUpToDate>false</LinksUpToDate>
  <CharactersWithSpaces>1015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2019-12-21T01:16:00Z</dcterms:created>
  <dc:creator>Administrator</dc:creator>
  <cp:lastModifiedBy>SXX</cp:lastModifiedBy>
  <cp:lastPrinted>2024-01-09T14:58:00Z</cp:lastPrinted>
  <dcterms:modified xsi:type="dcterms:W3CDTF">2025-12-15T09:21:20Z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SaveFontToCloudKey">
    <vt:lpwstr>548920287_btnclosed</vt:lpwstr>
  </property>
  <property fmtid="{D5CDD505-2E9C-101B-9397-08002B2CF9AE}" pid="4" name="ICV">
    <vt:lpwstr>1ED6EB36C37644B8B098D5AD80EEF103</vt:lpwstr>
  </property>
  <property fmtid="{D5CDD505-2E9C-101B-9397-08002B2CF9AE}" pid="5" name="KSOTemplateDocerSaveRecord">
    <vt:lpwstr>eyJoZGlkIjoiZWM5ZDIwNjc4MmQ4NjVmMGFhMjc0ZTk5NmVkMTU1MjciLCJ1c2VySWQiOiI0MzUyMTY4NDUifQ==</vt:lpwstr>
  </property>
</Properties>
</file>