
<file path=[Content_Types].xml><?xml version="1.0" encoding="utf-8"?>
<Types xmlns="http://schemas.openxmlformats.org/package/2006/content-types">
  <Default Extension="xml" ContentType="application/xml"/>
  <Default Extension="wmf" ContentType="image/x-wmf"/>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90" w:lineRule="exact"/>
        <w:textAlignment w:val="auto"/>
        <w:rPr>
          <w:rFonts w:hint="eastAsia" w:ascii="宋体" w:hAnsi="宋体" w:eastAsia="仿宋_GB2312" w:cs="黑体"/>
          <w:color w:val="auto"/>
          <w:spacing w:val="0"/>
          <w:sz w:val="32"/>
          <w:szCs w:val="32"/>
        </w:rPr>
      </w:pPr>
      <w:r>
        <w:rPr>
          <w:rFonts w:hint="eastAsia" w:ascii="宋体" w:hAnsi="宋体" w:eastAsia="方正小标宋简体" w:cs="方正小标宋简体"/>
          <w:b w:val="0"/>
          <w:bCs/>
          <w:color w:val="000000"/>
          <w:sz w:val="44"/>
          <w:szCs w:val="44"/>
          <w:lang w:eastAsia="zh-CN"/>
        </w:rPr>
        <w:drawing>
          <wp:anchor distT="0" distB="0" distL="114300" distR="114300" simplePos="0" relativeHeight="251663360" behindDoc="1" locked="0" layoutInCell="1" allowOverlap="1">
            <wp:simplePos x="0" y="0"/>
            <wp:positionH relativeFrom="column">
              <wp:posOffset>-1017905</wp:posOffset>
            </wp:positionH>
            <wp:positionV relativeFrom="paragraph">
              <wp:posOffset>-1207135</wp:posOffset>
            </wp:positionV>
            <wp:extent cx="7629525" cy="4154170"/>
            <wp:effectExtent l="0" t="0" r="9525" b="17780"/>
            <wp:wrapNone/>
            <wp:docPr id="2" name="图片 2" descr="污染防治攻坚战领导小组办公室和小组文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污染防治攻坚战领导小组办公室和小组文件"/>
                    <pic:cNvPicPr>
                      <a:picLocks noChangeAspect="1"/>
                    </pic:cNvPicPr>
                  </pic:nvPicPr>
                  <pic:blipFill>
                    <a:blip r:embed="rId15"/>
                    <a:srcRect b="61491"/>
                    <a:stretch>
                      <a:fillRect/>
                    </a:stretch>
                  </pic:blipFill>
                  <pic:spPr>
                    <a:xfrm>
                      <a:off x="0" y="0"/>
                      <a:ext cx="7629525" cy="4154170"/>
                    </a:xfrm>
                    <a:prstGeom prst="rect">
                      <a:avLst/>
                    </a:prstGeom>
                  </pic:spPr>
                </pic:pic>
              </a:graphicData>
            </a:graphic>
          </wp:anchor>
        </w:drawing>
      </w:r>
    </w:p>
    <w:p>
      <w:pPr>
        <w:keepNext w:val="0"/>
        <w:keepLines w:val="0"/>
        <w:pageBreakBefore w:val="0"/>
        <w:widowControl w:val="0"/>
        <w:kinsoku/>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color w:val="auto"/>
          <w:spacing w:val="0"/>
          <w:sz w:val="44"/>
          <w:szCs w:val="44"/>
        </w:rPr>
      </w:pPr>
    </w:p>
    <w:p>
      <w:pPr>
        <w:keepNext w:val="0"/>
        <w:keepLines w:val="0"/>
        <w:pageBreakBefore w:val="0"/>
        <w:widowControl w:val="0"/>
        <w:kinsoku/>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color w:val="auto"/>
          <w:spacing w:val="0"/>
          <w:sz w:val="44"/>
          <w:szCs w:val="44"/>
        </w:rPr>
      </w:pPr>
    </w:p>
    <w:p>
      <w:pPr>
        <w:keepNext w:val="0"/>
        <w:keepLines w:val="0"/>
        <w:pageBreakBefore w:val="0"/>
        <w:widowControl w:val="0"/>
        <w:kinsoku/>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color w:val="auto"/>
          <w:spacing w:val="0"/>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宋体" w:hAnsi="宋体" w:eastAsia="方正小标宋简体" w:cs="方正小标宋简体"/>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方正小标宋简体" w:cs="方正小标宋简体"/>
          <w:b w:val="0"/>
          <w:bCs/>
          <w:color w:val="000000"/>
          <w:sz w:val="44"/>
          <w:szCs w:val="44"/>
        </w:rPr>
      </w:pPr>
      <w:r>
        <w:rPr>
          <w:rFonts w:ascii="宋体" w:hAnsi="宋体"/>
          <w:color w:val="auto"/>
          <w:spacing w:val="0"/>
          <w:sz w:val="32"/>
        </w:rPr>
        <mc:AlternateContent>
          <mc:Choice Requires="wps">
            <w:drawing>
              <wp:anchor distT="0" distB="0" distL="114300" distR="114300" simplePos="0" relativeHeight="251662336" behindDoc="0" locked="0" layoutInCell="1" allowOverlap="1">
                <wp:simplePos x="0" y="0"/>
                <wp:positionH relativeFrom="column">
                  <wp:posOffset>-1051560</wp:posOffset>
                </wp:positionH>
                <wp:positionV relativeFrom="paragraph">
                  <wp:posOffset>177800</wp:posOffset>
                </wp:positionV>
                <wp:extent cx="7560310" cy="503555"/>
                <wp:effectExtent l="0" t="0" r="0" b="0"/>
                <wp:wrapNone/>
                <wp:docPr id="1" name="文本框 40"/>
                <wp:cNvGraphicFramePr/>
                <a:graphic xmlns:a="http://schemas.openxmlformats.org/drawingml/2006/main">
                  <a:graphicData uri="http://schemas.microsoft.com/office/word/2010/wordprocessingShape">
                    <wps:wsp>
                      <wps:cNvSpPr txBox="1"/>
                      <wps:spPr>
                        <a:xfrm>
                          <a:off x="0" y="0"/>
                          <a:ext cx="7560310" cy="503555"/>
                        </a:xfrm>
                        <a:prstGeom prst="rect">
                          <a:avLst/>
                        </a:prstGeom>
                        <a:noFill/>
                        <a:ln>
                          <a:noFill/>
                        </a:ln>
                      </wps:spPr>
                      <wps:txbx>
                        <w:txbxContent>
                          <w:p>
                            <w:pPr>
                              <w:jc w:val="center"/>
                              <w:rPr>
                                <w:rFonts w:hint="eastAsia" w:ascii="宋体" w:hAnsi="宋体" w:eastAsia="FangSong_GB2312" w:cs="仿宋_GB2312"/>
                                <w:sz w:val="32"/>
                                <w:szCs w:val="32"/>
                                <w:lang w:eastAsia="zh-CN"/>
                              </w:rPr>
                            </w:pPr>
                            <w:r>
                              <w:rPr>
                                <w:rFonts w:hint="eastAsia" w:ascii="宋体" w:hAnsi="宋体" w:eastAsia="仿宋_GB2312" w:cs="仿宋_GB2312"/>
                                <w:sz w:val="32"/>
                                <w:szCs w:val="32"/>
                                <w:lang w:val="en-US" w:eastAsia="zh-CN"/>
                              </w:rPr>
                              <w:t xml:space="preserve"> </w:t>
                            </w:r>
                            <w:r>
                              <w:rPr>
                                <w:rFonts w:hint="eastAsia" w:ascii="宋体" w:hAnsi="宋体" w:eastAsia="仿宋_GB2312" w:cs="仿宋_GB2312"/>
                                <w:sz w:val="32"/>
                                <w:szCs w:val="32"/>
                              </w:rPr>
                              <w:t>济环攻坚〔20</w:t>
                            </w:r>
                            <w:r>
                              <w:rPr>
                                <w:rFonts w:hint="eastAsia" w:ascii="宋体" w:hAnsi="宋体" w:eastAsia="仿宋_GB2312" w:cs="仿宋_GB2312"/>
                                <w:sz w:val="32"/>
                                <w:szCs w:val="32"/>
                                <w:lang w:val="en-US" w:eastAsia="zh-CN"/>
                              </w:rPr>
                              <w:t>21</w:t>
                            </w:r>
                            <w:r>
                              <w:rPr>
                                <w:rFonts w:hint="eastAsia" w:ascii="宋体" w:hAnsi="宋体" w:eastAsia="仿宋_GB2312" w:cs="仿宋_GB2312"/>
                                <w:sz w:val="32"/>
                                <w:szCs w:val="32"/>
                              </w:rPr>
                              <w:t>〕</w:t>
                            </w:r>
                            <w:r>
                              <w:rPr>
                                <w:rFonts w:hint="eastAsia" w:ascii="宋体" w:hAnsi="宋体" w:eastAsia="仿宋_GB2312" w:cs="仿宋_GB2312"/>
                                <w:sz w:val="32"/>
                                <w:szCs w:val="32"/>
                                <w:lang w:val="en-US" w:eastAsia="zh-CN"/>
                              </w:rPr>
                              <w:t>3</w:t>
                            </w:r>
                            <w:r>
                              <w:rPr>
                                <w:rFonts w:hint="eastAsia" w:ascii="宋体" w:hAnsi="宋体" w:eastAsia="仿宋_GB2312" w:cs="仿宋_GB2312"/>
                                <w:sz w:val="32"/>
                                <w:szCs w:val="32"/>
                              </w:rPr>
                              <w:t>号</w:t>
                            </w:r>
                            <w:r>
                              <w:rPr>
                                <w:rFonts w:hint="eastAsia" w:ascii="宋体" w:hAnsi="宋体" w:eastAsia="仿宋_GB2312" w:cs="仿宋_GB2312"/>
                                <w:sz w:val="32"/>
                                <w:szCs w:val="32"/>
                                <w:lang w:val="en-US" w:eastAsia="zh-CN"/>
                              </w:rPr>
                              <w:t xml:space="preserve">                     </w:t>
                            </w:r>
                          </w:p>
                        </w:txbxContent>
                      </wps:txbx>
                      <wps:bodyPr wrap="square" upright="1"/>
                    </wps:wsp>
                  </a:graphicData>
                </a:graphic>
              </wp:anchor>
            </w:drawing>
          </mc:Choice>
          <mc:Fallback>
            <w:pict>
              <v:shape id="文本框 40" o:spid="_x0000_s1026" o:spt="202" type="#_x0000_t202" style="position:absolute;left:0pt;margin-left:-82.8pt;margin-top:14pt;height:39.65pt;width:595.3pt;z-index:251662336;mso-width-relative:page;mso-height-relative:page;" filled="f" stroked="f" coordsize="21600,21600" o:gfxdata="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AhxzQB2AAAAAwBAAAPAAAAAAAAAAEAIAAAACIAAABkcnMvZG93bnJldi54bWxQSwECFAAUAAAA&#10;CACHTuJAjiWEYLUBAABdAwAADgAAAAAAAAABACAAAAAnAQAAZHJzL2Uyb0RvYy54bWxQSwUGAAAA&#10;AAYABgBZAQAATgUAAAAA&#10;">
                <v:fill on="f" focussize="0,0"/>
                <v:stroke on="f"/>
                <v:imagedata o:title=""/>
                <o:lock v:ext="edit" aspectratio="f"/>
                <v:textbox>
                  <w:txbxContent>
                    <w:p>
                      <w:pPr>
                        <w:jc w:val="center"/>
                        <w:rPr>
                          <w:rFonts w:hint="eastAsia" w:ascii="宋体" w:hAnsi="宋体" w:eastAsia="FangSong_GB2312" w:cs="仿宋_GB2312"/>
                          <w:sz w:val="32"/>
                          <w:szCs w:val="32"/>
                          <w:lang w:eastAsia="zh-CN"/>
                        </w:rPr>
                      </w:pPr>
                      <w:r>
                        <w:rPr>
                          <w:rFonts w:hint="eastAsia" w:ascii="宋体" w:hAnsi="宋体" w:eastAsia="仿宋_GB2312" w:cs="仿宋_GB2312"/>
                          <w:sz w:val="32"/>
                          <w:szCs w:val="32"/>
                          <w:lang w:val="en-US" w:eastAsia="zh-CN"/>
                        </w:rPr>
                        <w:t xml:space="preserve"> </w:t>
                      </w:r>
                      <w:r>
                        <w:rPr>
                          <w:rFonts w:hint="eastAsia" w:ascii="宋体" w:hAnsi="宋体" w:eastAsia="仿宋_GB2312" w:cs="仿宋_GB2312"/>
                          <w:sz w:val="32"/>
                          <w:szCs w:val="32"/>
                        </w:rPr>
                        <w:t>济环攻坚〔20</w:t>
                      </w:r>
                      <w:r>
                        <w:rPr>
                          <w:rFonts w:hint="eastAsia" w:ascii="宋体" w:hAnsi="宋体" w:eastAsia="仿宋_GB2312" w:cs="仿宋_GB2312"/>
                          <w:sz w:val="32"/>
                          <w:szCs w:val="32"/>
                          <w:lang w:val="en-US" w:eastAsia="zh-CN"/>
                        </w:rPr>
                        <w:t>21</w:t>
                      </w:r>
                      <w:r>
                        <w:rPr>
                          <w:rFonts w:hint="eastAsia" w:ascii="宋体" w:hAnsi="宋体" w:eastAsia="仿宋_GB2312" w:cs="仿宋_GB2312"/>
                          <w:sz w:val="32"/>
                          <w:szCs w:val="32"/>
                        </w:rPr>
                        <w:t>〕</w:t>
                      </w:r>
                      <w:r>
                        <w:rPr>
                          <w:rFonts w:hint="eastAsia" w:ascii="宋体" w:hAnsi="宋体" w:eastAsia="仿宋_GB2312" w:cs="仿宋_GB2312"/>
                          <w:sz w:val="32"/>
                          <w:szCs w:val="32"/>
                          <w:lang w:val="en-US" w:eastAsia="zh-CN"/>
                        </w:rPr>
                        <w:t>3</w:t>
                      </w:r>
                      <w:r>
                        <w:rPr>
                          <w:rFonts w:hint="eastAsia" w:ascii="宋体" w:hAnsi="宋体" w:eastAsia="仿宋_GB2312" w:cs="仿宋_GB2312"/>
                          <w:sz w:val="32"/>
                          <w:szCs w:val="32"/>
                        </w:rPr>
                        <w:t>号</w:t>
                      </w:r>
                      <w:r>
                        <w:rPr>
                          <w:rFonts w:hint="eastAsia" w:ascii="宋体" w:hAnsi="宋体" w:eastAsia="仿宋_GB2312" w:cs="仿宋_GB2312"/>
                          <w:sz w:val="32"/>
                          <w:szCs w:val="32"/>
                          <w:lang w:val="en-US" w:eastAsia="zh-CN"/>
                        </w:rPr>
                        <w:t xml:space="preserve">                     </w:t>
                      </w:r>
                    </w:p>
                  </w:txbxContent>
                </v:textbox>
              </v:shape>
            </w:pict>
          </mc:Fallback>
        </mc:AlternateContent>
      </w:r>
    </w:p>
    <w:p>
      <w:pPr>
        <w:keepNext w:val="0"/>
        <w:keepLines w:val="0"/>
        <w:pageBreakBefore w:val="0"/>
        <w:widowControl w:val="0"/>
        <w:kinsoku/>
        <w:wordWrap/>
        <w:overflowPunct/>
        <w:topLinePunct w:val="0"/>
        <w:autoSpaceDE/>
        <w:autoSpaceDN/>
        <w:bidi w:val="0"/>
        <w:adjustRightInd/>
        <w:snapToGrid/>
        <w:spacing w:line="1400" w:lineRule="exact"/>
        <w:jc w:val="center"/>
        <w:textAlignment w:val="auto"/>
        <w:rPr>
          <w:rFonts w:hint="eastAsia" w:ascii="宋体" w:hAnsi="宋体" w:eastAsia="方正小标宋简体" w:cs="方正小标宋简体"/>
          <w:b w:val="0"/>
          <w:bCs/>
          <w:color w:val="000000"/>
          <w:sz w:val="44"/>
          <w:szCs w:val="44"/>
        </w:rPr>
      </w:pPr>
    </w:p>
    <w:p>
      <w:pPr>
        <w:keepNext w:val="0"/>
        <w:keepLines w:val="0"/>
        <w:pageBreakBefore w:val="0"/>
        <w:widowControl w:val="0"/>
        <w:kinsoku/>
        <w:wordWrap/>
        <w:overflowPunct/>
        <w:topLinePunct w:val="0"/>
        <w:autoSpaceDE/>
        <w:autoSpaceDN/>
        <w:bidi w:val="0"/>
        <w:spacing w:line="700" w:lineRule="exact"/>
        <w:jc w:val="center"/>
        <w:rPr>
          <w:rFonts w:hint="eastAsia" w:ascii="方正小标宋_GBK" w:hAnsi="方正小标宋_GBK" w:eastAsia="方正小标宋_GBK" w:cs="方正小标宋_GBK"/>
          <w:sz w:val="44"/>
          <w:szCs w:val="30"/>
          <w:highlight w:val="none"/>
        </w:rPr>
      </w:pPr>
      <w:r>
        <w:rPr>
          <w:rFonts w:hint="eastAsia" w:ascii="方正小标宋_GBK" w:hAnsi="方正小标宋_GBK" w:eastAsia="方正小标宋_GBK" w:cs="方正小标宋_GBK"/>
          <w:sz w:val="44"/>
          <w:szCs w:val="30"/>
          <w:highlight w:val="none"/>
        </w:rPr>
        <w:t>济源产城融合示范区污染防治攻坚战领导小组</w:t>
      </w:r>
    </w:p>
    <w:p>
      <w:pPr>
        <w:keepNext w:val="0"/>
        <w:keepLines w:val="0"/>
        <w:pageBreakBefore w:val="0"/>
        <w:widowControl w:val="0"/>
        <w:kinsoku/>
        <w:wordWrap/>
        <w:overflowPunct/>
        <w:topLinePunct w:val="0"/>
        <w:autoSpaceDE/>
        <w:autoSpaceDN/>
        <w:bidi w:val="0"/>
        <w:spacing w:line="700" w:lineRule="exact"/>
        <w:jc w:val="center"/>
        <w:rPr>
          <w:rFonts w:hint="eastAsia" w:ascii="方正小标宋_GBK" w:hAnsi="方正小标宋_GBK" w:eastAsia="方正小标宋_GBK" w:cs="方正小标宋_GBK"/>
          <w:sz w:val="44"/>
          <w:szCs w:val="30"/>
          <w:highlight w:val="none"/>
        </w:rPr>
      </w:pPr>
      <w:r>
        <w:rPr>
          <w:rFonts w:hint="eastAsia" w:ascii="方正小标宋_GBK" w:hAnsi="方正小标宋_GBK" w:eastAsia="方正小标宋_GBK" w:cs="方正小标宋_GBK"/>
          <w:sz w:val="44"/>
          <w:szCs w:val="30"/>
          <w:highlight w:val="none"/>
        </w:rPr>
        <w:t>关于印发</w:t>
      </w:r>
      <w:r>
        <w:rPr>
          <w:rFonts w:hint="eastAsia" w:ascii="方正小标宋_GBK" w:hAnsi="方正小标宋_GBK" w:eastAsia="方正小标宋_GBK" w:cs="方正小标宋_GBK"/>
          <w:sz w:val="44"/>
          <w:szCs w:val="30"/>
          <w:highlight w:val="none"/>
          <w:lang w:eastAsia="zh-CN"/>
        </w:rPr>
        <w:t>济源产城融合示范区</w:t>
      </w:r>
      <w:r>
        <w:rPr>
          <w:rFonts w:hint="eastAsia" w:ascii="方正小标宋_GBK" w:hAnsi="方正小标宋_GBK" w:eastAsia="方正小标宋_GBK" w:cs="方正小标宋_GBK"/>
          <w:sz w:val="44"/>
          <w:szCs w:val="30"/>
          <w:highlight w:val="none"/>
        </w:rPr>
        <w:t>2021年大气、水、土壤污染防治攻坚战及农业农村污染治理攻坚战实施方案的通知</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宋体" w:hAnsi="宋体" w:eastAsia="仿宋_GB2312" w:cs="仿宋_GB2312"/>
          <w:sz w:val="32"/>
          <w:szCs w:val="32"/>
          <w:highlight w:val="none"/>
        </w:rPr>
      </w:pPr>
      <w:bookmarkStart w:id="8" w:name="_GoBack"/>
      <w:bookmarkEnd w:id="8"/>
    </w:p>
    <w:p>
      <w:pPr>
        <w:keepNext w:val="0"/>
        <w:keepLines w:val="0"/>
        <w:pageBreakBefore w:val="0"/>
        <w:widowControl w:val="0"/>
        <w:kinsoku/>
        <w:wordWrap/>
        <w:overflowPunct/>
        <w:topLinePunct w:val="0"/>
        <w:autoSpaceDE/>
        <w:autoSpaceDN/>
        <w:bidi w:val="0"/>
        <w:spacing w:line="590" w:lineRule="exact"/>
        <w:jc w:val="both"/>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各片区管理办公室，各镇人民政府，各街道办事处，示范区污染防治攻坚战领导小组</w:t>
      </w:r>
      <w:r>
        <w:rPr>
          <w:rFonts w:hint="eastAsia" w:ascii="宋体" w:hAnsi="宋体" w:eastAsia="仿宋_GB2312" w:cs="仿宋_GB2312"/>
          <w:b w:val="0"/>
          <w:bCs w:val="0"/>
          <w:sz w:val="32"/>
          <w:szCs w:val="32"/>
          <w:highlight w:val="none"/>
          <w:lang w:eastAsia="zh-CN"/>
        </w:rPr>
        <w:t>各</w:t>
      </w:r>
      <w:r>
        <w:rPr>
          <w:rFonts w:hint="eastAsia" w:ascii="宋体" w:hAnsi="宋体" w:eastAsia="仿宋_GB2312" w:cs="仿宋_GB2312"/>
          <w:b w:val="0"/>
          <w:bCs w:val="0"/>
          <w:sz w:val="32"/>
          <w:szCs w:val="32"/>
          <w:highlight w:val="none"/>
        </w:rPr>
        <w:t>成员单位</w:t>
      </w:r>
      <w:r>
        <w:rPr>
          <w:rFonts w:hint="eastAsia" w:ascii="宋体" w:hAnsi="宋体" w:eastAsia="仿宋_GB2312" w:cs="仿宋_GB2312"/>
          <w:b w:val="0"/>
          <w:bCs w:val="0"/>
          <w:sz w:val="32"/>
          <w:szCs w:val="32"/>
          <w:highlight w:val="none"/>
          <w:lang w:eastAsia="zh-CN"/>
        </w:rPr>
        <w:t>，各有关单位</w:t>
      </w:r>
      <w:r>
        <w:rPr>
          <w:rFonts w:hint="eastAsia" w:ascii="宋体" w:hAnsi="宋体" w:eastAsia="仿宋_GB2312" w:cs="仿宋_GB2312"/>
          <w:b w:val="0"/>
          <w:bCs w:val="0"/>
          <w:sz w:val="32"/>
          <w:szCs w:val="32"/>
          <w:highlight w:val="none"/>
        </w:rPr>
        <w:t>：</w:t>
      </w:r>
    </w:p>
    <w:p>
      <w:pPr>
        <w:keepNext w:val="0"/>
        <w:keepLines w:val="0"/>
        <w:pageBreakBefore w:val="0"/>
        <w:widowControl w:val="0"/>
        <w:kinsoku/>
        <w:wordWrap/>
        <w:overflowPunct/>
        <w:topLinePunct w:val="0"/>
        <w:autoSpaceDE/>
        <w:autoSpaceDN/>
        <w:bidi w:val="0"/>
        <w:spacing w:line="590" w:lineRule="exact"/>
        <w:ind w:firstLine="640"/>
        <w:jc w:val="both"/>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经</w:t>
      </w:r>
      <w:r>
        <w:rPr>
          <w:rFonts w:hint="eastAsia" w:ascii="宋体" w:hAnsi="宋体" w:eastAsia="仿宋_GB2312" w:cs="仿宋_GB2312"/>
          <w:b w:val="0"/>
          <w:bCs w:val="0"/>
          <w:sz w:val="32"/>
          <w:szCs w:val="32"/>
          <w:highlight w:val="none"/>
          <w:lang w:eastAsia="zh-CN"/>
        </w:rPr>
        <w:t>示范区党工委、示范区管委会</w:t>
      </w:r>
      <w:r>
        <w:rPr>
          <w:rFonts w:hint="eastAsia" w:ascii="宋体" w:hAnsi="宋体" w:eastAsia="仿宋_GB2312" w:cs="仿宋_GB2312"/>
          <w:b w:val="0"/>
          <w:bCs w:val="0"/>
          <w:sz w:val="32"/>
          <w:szCs w:val="32"/>
          <w:highlight w:val="none"/>
        </w:rPr>
        <w:t>同意，现将《</w:t>
      </w:r>
      <w:r>
        <w:rPr>
          <w:rFonts w:hint="eastAsia" w:ascii="宋体" w:hAnsi="宋体" w:eastAsia="仿宋_GB2312" w:cs="仿宋_GB2312"/>
          <w:b w:val="0"/>
          <w:bCs w:val="0"/>
          <w:sz w:val="32"/>
          <w:szCs w:val="32"/>
          <w:highlight w:val="none"/>
          <w:lang w:eastAsia="zh-CN"/>
        </w:rPr>
        <w:t>济源产城融合示范区</w:t>
      </w:r>
      <w:r>
        <w:rPr>
          <w:rFonts w:hint="eastAsia" w:ascii="宋体" w:hAnsi="宋体" w:eastAsia="仿宋_GB2312" w:cs="仿宋_GB2312"/>
          <w:b w:val="0"/>
          <w:bCs w:val="0"/>
          <w:sz w:val="32"/>
          <w:szCs w:val="32"/>
          <w:highlight w:val="none"/>
        </w:rPr>
        <w:t>2021年大气污染防治攻坚战实施方案》《</w:t>
      </w:r>
      <w:r>
        <w:rPr>
          <w:rFonts w:hint="eastAsia" w:ascii="宋体" w:hAnsi="宋体" w:eastAsia="仿宋_GB2312" w:cs="仿宋_GB2312"/>
          <w:b w:val="0"/>
          <w:bCs w:val="0"/>
          <w:sz w:val="32"/>
          <w:szCs w:val="32"/>
          <w:highlight w:val="none"/>
          <w:lang w:eastAsia="zh-CN"/>
        </w:rPr>
        <w:t>济源产城融合示范区</w:t>
      </w:r>
      <w:r>
        <w:rPr>
          <w:rFonts w:hint="eastAsia" w:ascii="宋体" w:hAnsi="宋体" w:eastAsia="仿宋_GB2312" w:cs="仿宋_GB2312"/>
          <w:b w:val="0"/>
          <w:bCs w:val="0"/>
          <w:sz w:val="32"/>
          <w:szCs w:val="32"/>
          <w:highlight w:val="none"/>
        </w:rPr>
        <w:t>2021年水污染防治攻坚战实施方案》《</w:t>
      </w:r>
      <w:r>
        <w:rPr>
          <w:rFonts w:hint="eastAsia" w:ascii="宋体" w:hAnsi="宋体" w:eastAsia="仿宋_GB2312" w:cs="仿宋_GB2312"/>
          <w:b w:val="0"/>
          <w:bCs w:val="0"/>
          <w:sz w:val="32"/>
          <w:szCs w:val="32"/>
          <w:highlight w:val="none"/>
          <w:lang w:eastAsia="zh-CN"/>
        </w:rPr>
        <w:t>济源产城融合示范区</w:t>
      </w:r>
      <w:r>
        <w:rPr>
          <w:rFonts w:hint="eastAsia" w:ascii="宋体" w:hAnsi="宋体" w:eastAsia="仿宋_GB2312" w:cs="仿宋_GB2312"/>
          <w:b w:val="0"/>
          <w:bCs w:val="0"/>
          <w:sz w:val="32"/>
          <w:szCs w:val="32"/>
          <w:highlight w:val="none"/>
        </w:rPr>
        <w:t>2021年土壤污染防治攻坚战实施方案》《</w:t>
      </w:r>
      <w:r>
        <w:rPr>
          <w:rFonts w:hint="eastAsia" w:ascii="宋体" w:hAnsi="宋体" w:eastAsia="仿宋_GB2312" w:cs="仿宋_GB2312"/>
          <w:b w:val="0"/>
          <w:bCs w:val="0"/>
          <w:sz w:val="32"/>
          <w:szCs w:val="32"/>
          <w:highlight w:val="none"/>
          <w:lang w:eastAsia="zh-CN"/>
        </w:rPr>
        <w:t>济源产城融合示范区</w:t>
      </w:r>
      <w:r>
        <w:rPr>
          <w:rFonts w:hint="eastAsia" w:ascii="宋体" w:hAnsi="宋体" w:eastAsia="仿宋_GB2312" w:cs="仿宋_GB2312"/>
          <w:b w:val="0"/>
          <w:bCs w:val="0"/>
          <w:sz w:val="32"/>
          <w:szCs w:val="32"/>
          <w:highlight w:val="none"/>
        </w:rPr>
        <w:t>2021年农业农村污染治理攻坚战实施方案》印发给你们，请结合实际，认真贯彻执行。</w:t>
      </w:r>
    </w:p>
    <w:p>
      <w:pPr>
        <w:keepNext w:val="0"/>
        <w:keepLines w:val="0"/>
        <w:pageBreakBefore w:val="0"/>
        <w:widowControl w:val="0"/>
        <w:kinsoku/>
        <w:wordWrap/>
        <w:overflowPunct/>
        <w:topLinePunct w:val="0"/>
        <w:autoSpaceDE/>
        <w:autoSpaceDN/>
        <w:bidi w:val="0"/>
        <w:spacing w:line="590" w:lineRule="exact"/>
        <w:ind w:firstLine="2249" w:firstLineChars="703"/>
        <w:jc w:val="both"/>
        <w:rPr>
          <w:rFonts w:hint="eastAsia" w:ascii="宋体" w:hAnsi="宋体" w:eastAsia="仿宋_GB2312" w:cs="仿宋_GB2312"/>
          <w:b w:val="0"/>
          <w:bCs w:val="0"/>
          <w:kern w:val="4"/>
          <w:sz w:val="32"/>
          <w:szCs w:val="32"/>
          <w:highlight w:val="none"/>
          <w:lang w:val="en-US" w:eastAsia="zh-CN"/>
        </w:rPr>
      </w:pPr>
      <w:r>
        <w:rPr>
          <w:rFonts w:hint="eastAsia" w:ascii="宋体" w:hAnsi="宋体" w:eastAsia="仿宋_GB2312" w:cs="仿宋_GB2312"/>
          <w:b w:val="0"/>
          <w:bCs w:val="0"/>
          <w:kern w:val="4"/>
          <w:sz w:val="32"/>
          <w:szCs w:val="32"/>
          <w:highlight w:val="none"/>
          <w:lang w:val="en-US" w:eastAsia="zh-CN"/>
        </w:rPr>
        <w:drawing>
          <wp:anchor distT="0" distB="0" distL="114300" distR="114300" simplePos="0" relativeHeight="251663360" behindDoc="1" locked="0" layoutInCell="1" allowOverlap="1">
            <wp:simplePos x="0" y="0"/>
            <wp:positionH relativeFrom="column">
              <wp:posOffset>2381885</wp:posOffset>
            </wp:positionH>
            <wp:positionV relativeFrom="paragraph">
              <wp:posOffset>309880</wp:posOffset>
            </wp:positionV>
            <wp:extent cx="1563370" cy="1532890"/>
            <wp:effectExtent l="0" t="0" r="17780" b="10160"/>
            <wp:wrapNone/>
            <wp:docPr id="3" name="图片 3" descr="污染防治攻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污染防治攻坚"/>
                    <pic:cNvPicPr>
                      <a:picLocks noChangeAspect="1"/>
                    </pic:cNvPicPr>
                  </pic:nvPicPr>
                  <pic:blipFill>
                    <a:blip r:embed="rId16"/>
                    <a:stretch>
                      <a:fillRect/>
                    </a:stretch>
                  </pic:blipFill>
                  <pic:spPr>
                    <a:xfrm>
                      <a:off x="0" y="0"/>
                      <a:ext cx="1563370" cy="153289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spacing w:line="590" w:lineRule="exact"/>
        <w:ind w:firstLine="2249" w:firstLineChars="703"/>
        <w:jc w:val="both"/>
        <w:rPr>
          <w:rFonts w:hint="eastAsia" w:ascii="宋体" w:hAnsi="宋体" w:eastAsia="仿宋_GB2312" w:cs="仿宋_GB2312"/>
          <w:b w:val="0"/>
          <w:bCs w:val="0"/>
          <w:kern w:val="4"/>
          <w:sz w:val="32"/>
          <w:szCs w:val="32"/>
          <w:highlight w:val="none"/>
          <w:lang w:val="en-US" w:eastAsia="zh-CN"/>
        </w:rPr>
      </w:pPr>
    </w:p>
    <w:p>
      <w:pPr>
        <w:keepNext w:val="0"/>
        <w:keepLines w:val="0"/>
        <w:pageBreakBefore w:val="0"/>
        <w:widowControl w:val="0"/>
        <w:kinsoku/>
        <w:wordWrap/>
        <w:overflowPunct/>
        <w:topLinePunct w:val="0"/>
        <w:autoSpaceDE/>
        <w:autoSpaceDN/>
        <w:bidi w:val="0"/>
        <w:spacing w:line="590" w:lineRule="exact"/>
        <w:ind w:firstLine="2249" w:firstLineChars="703"/>
        <w:jc w:val="both"/>
        <w:rPr>
          <w:rFonts w:hint="eastAsia" w:ascii="宋体" w:hAnsi="宋体" w:eastAsia="仿宋_GB2312" w:cs="仿宋_GB2312"/>
          <w:b w:val="0"/>
          <w:bCs w:val="0"/>
          <w:kern w:val="4"/>
          <w:sz w:val="32"/>
          <w:szCs w:val="32"/>
          <w:highlight w:val="none"/>
          <w:lang w:val="en-US" w:eastAsia="zh-CN"/>
        </w:rPr>
      </w:pPr>
    </w:p>
    <w:p>
      <w:pPr>
        <w:keepNext w:val="0"/>
        <w:keepLines w:val="0"/>
        <w:pageBreakBefore w:val="0"/>
        <w:widowControl w:val="0"/>
        <w:kinsoku/>
        <w:wordWrap/>
        <w:overflowPunct/>
        <w:topLinePunct w:val="0"/>
        <w:autoSpaceDE/>
        <w:autoSpaceDN/>
        <w:bidi w:val="0"/>
        <w:spacing w:line="590" w:lineRule="exact"/>
        <w:ind w:firstLine="2249" w:firstLineChars="703"/>
        <w:jc w:val="both"/>
        <w:rPr>
          <w:rFonts w:hint="eastAsia" w:ascii="宋体" w:hAnsi="宋体" w:eastAsia="仿宋_GB2312" w:cs="仿宋_GB2312"/>
          <w:b w:val="0"/>
          <w:bCs w:val="0"/>
          <w:kern w:val="4"/>
          <w:sz w:val="32"/>
          <w:szCs w:val="32"/>
          <w:highlight w:val="none"/>
          <w:lang w:val="en-US" w:eastAsia="zh-CN"/>
        </w:rPr>
      </w:pPr>
      <w:r>
        <w:rPr>
          <w:rFonts w:hint="eastAsia" w:ascii="宋体" w:hAnsi="宋体" w:eastAsia="仿宋_GB2312" w:cs="仿宋_GB2312"/>
          <w:b w:val="0"/>
          <w:bCs w:val="0"/>
          <w:kern w:val="4"/>
          <w:sz w:val="32"/>
          <w:szCs w:val="32"/>
          <w:highlight w:val="none"/>
          <w:lang w:val="en-US" w:eastAsia="zh-CN"/>
        </w:rPr>
        <w:t>济源市污染防治攻坚战领导小组（代章）</w:t>
      </w:r>
    </w:p>
    <w:p>
      <w:pPr>
        <w:keepNext w:val="0"/>
        <w:keepLines w:val="0"/>
        <w:pageBreakBefore w:val="0"/>
        <w:widowControl w:val="0"/>
        <w:kinsoku/>
        <w:wordWrap/>
        <w:overflowPunct/>
        <w:topLinePunct w:val="0"/>
        <w:autoSpaceDE/>
        <w:autoSpaceDN/>
        <w:bidi w:val="0"/>
        <w:spacing w:line="590" w:lineRule="exact"/>
        <w:ind w:firstLine="2249" w:firstLineChars="703"/>
        <w:jc w:val="both"/>
        <w:rPr>
          <w:rFonts w:hint="default" w:ascii="宋体" w:hAnsi="宋体" w:eastAsia="仿宋_GB2312" w:cs="仿宋_GB2312"/>
          <w:b w:val="0"/>
          <w:bCs w:val="0"/>
          <w:kern w:val="4"/>
          <w:sz w:val="32"/>
          <w:szCs w:val="32"/>
          <w:highlight w:val="none"/>
          <w:lang w:val="en-US" w:eastAsia="zh-CN"/>
        </w:rPr>
      </w:pPr>
      <w:r>
        <w:rPr>
          <w:rFonts w:hint="eastAsia" w:ascii="宋体" w:hAnsi="宋体" w:eastAsia="仿宋_GB2312" w:cs="仿宋_GB2312"/>
          <w:b w:val="0"/>
          <w:bCs w:val="0"/>
          <w:kern w:val="4"/>
          <w:sz w:val="32"/>
          <w:szCs w:val="32"/>
          <w:highlight w:val="none"/>
          <w:lang w:val="en-US" w:eastAsia="zh-CN"/>
        </w:rPr>
        <w:t xml:space="preserve">         2021年8月4日</w:t>
      </w:r>
    </w:p>
    <w:p>
      <w:pPr>
        <w:keepNext w:val="0"/>
        <w:keepLines w:val="0"/>
        <w:pageBreakBefore w:val="0"/>
        <w:widowControl w:val="0"/>
        <w:pBdr>
          <w:bottom w:val="single" w:color="FFFFFF" w:sz="4" w:space="30"/>
        </w:pBdr>
        <w:tabs>
          <w:tab w:val="left" w:pos="1440"/>
        </w:tabs>
        <w:kinsoku/>
        <w:wordWrap/>
        <w:overflowPunct/>
        <w:topLinePunct w:val="0"/>
        <w:autoSpaceDE/>
        <w:autoSpaceDN/>
        <w:bidi w:val="0"/>
        <w:snapToGrid w:val="0"/>
        <w:spacing w:line="590" w:lineRule="exact"/>
        <w:ind w:firstLine="640" w:firstLineChars="200"/>
        <w:textAlignment w:val="baseline"/>
        <w:rPr>
          <w:rFonts w:hint="eastAsia" w:ascii="宋体" w:hAnsi="宋体" w:eastAsia="仿宋_GB2312" w:cs="仿宋_GB2312"/>
          <w:b w:val="0"/>
          <w:bCs w:val="0"/>
          <w:kern w:val="4"/>
          <w:sz w:val="32"/>
          <w:szCs w:val="32"/>
          <w:highlight w:val="none"/>
          <w:lang w:val="en-US" w:eastAsia="zh-CN"/>
        </w:rPr>
        <w:sectPr>
          <w:footerReference r:id="rId3" w:type="default"/>
          <w:pgSz w:w="11906" w:h="16838"/>
          <w:pgMar w:top="1871" w:right="1474" w:bottom="1701" w:left="1587" w:header="851" w:footer="1531" w:gutter="0"/>
          <w:pgNumType w:fmt="decimal" w:start="1"/>
          <w:cols w:space="0" w:num="1"/>
          <w:docGrid w:type="lines" w:linePitch="315" w:charSpace="0"/>
        </w:sectPr>
      </w:pPr>
    </w:p>
    <w:p>
      <w:pPr>
        <w:keepNext w:val="0"/>
        <w:keepLines w:val="0"/>
        <w:pageBreakBefore w:val="0"/>
        <w:widowControl w:val="0"/>
        <w:kinsoku/>
        <w:wordWrap/>
        <w:overflowPunct/>
        <w:topLinePunct w:val="0"/>
        <w:autoSpaceDE/>
        <w:autoSpaceDN/>
        <w:bidi w:val="0"/>
        <w:spacing w:line="590" w:lineRule="exact"/>
        <w:jc w:val="center"/>
        <w:rPr>
          <w:rFonts w:hint="eastAsia" w:ascii="宋体" w:hAnsi="宋体" w:eastAsia="方正小标宋_GBK" w:cs="方正小标宋_GBK"/>
          <w:b w:val="0"/>
          <w:bCs w:val="0"/>
          <w:sz w:val="44"/>
          <w:szCs w:val="44"/>
          <w:highlight w:val="none"/>
        </w:rPr>
      </w:pPr>
      <w:r>
        <w:rPr>
          <w:rFonts w:hint="eastAsia" w:ascii="宋体" w:hAnsi="宋体" w:eastAsia="方正小标宋_GBK" w:cs="方正小标宋_GBK"/>
          <w:b w:val="0"/>
          <w:bCs w:val="0"/>
          <w:sz w:val="44"/>
          <w:szCs w:val="44"/>
          <w:highlight w:val="none"/>
        </w:rPr>
        <w:t>济源产城融合示范区</w:t>
      </w:r>
    </w:p>
    <w:p>
      <w:pPr>
        <w:keepNext w:val="0"/>
        <w:keepLines w:val="0"/>
        <w:pageBreakBefore w:val="0"/>
        <w:widowControl w:val="0"/>
        <w:kinsoku/>
        <w:wordWrap/>
        <w:overflowPunct/>
        <w:topLinePunct w:val="0"/>
        <w:autoSpaceDE/>
        <w:autoSpaceDN/>
        <w:bidi w:val="0"/>
        <w:spacing w:line="590" w:lineRule="exact"/>
        <w:jc w:val="center"/>
        <w:rPr>
          <w:rFonts w:hint="eastAsia" w:ascii="宋体" w:hAnsi="宋体" w:eastAsia="方正小标宋简体" w:cs="方正小标宋简体"/>
          <w:b w:val="0"/>
          <w:bCs w:val="0"/>
          <w:sz w:val="44"/>
          <w:szCs w:val="44"/>
          <w:highlight w:val="none"/>
        </w:rPr>
      </w:pPr>
      <w:r>
        <w:rPr>
          <w:rFonts w:hint="eastAsia" w:ascii="宋体" w:hAnsi="宋体" w:eastAsia="方正小标宋_GBK" w:cs="方正小标宋_GBK"/>
          <w:b w:val="0"/>
          <w:bCs w:val="0"/>
          <w:sz w:val="44"/>
          <w:szCs w:val="44"/>
          <w:highlight w:val="none"/>
        </w:rPr>
        <w:t>2021年大气污染防治攻坚战实施方案</w:t>
      </w:r>
    </w:p>
    <w:p>
      <w:pPr>
        <w:pStyle w:val="61"/>
        <w:keepNext w:val="0"/>
        <w:keepLines w:val="0"/>
        <w:pageBreakBefore w:val="0"/>
        <w:widowControl w:val="0"/>
        <w:kinsoku/>
        <w:wordWrap/>
        <w:overflowPunct/>
        <w:topLinePunct w:val="0"/>
        <w:autoSpaceDE/>
        <w:autoSpaceDN/>
        <w:bidi w:val="0"/>
        <w:spacing w:before="0" w:after="0" w:line="590" w:lineRule="exact"/>
        <w:rPr>
          <w:rFonts w:hint="eastAsia" w:ascii="宋体" w:hAnsi="宋体" w:eastAsia="方正小标宋_GBK" w:cs="方正小标宋_GBK"/>
          <w:b w:val="0"/>
          <w:bCs w:val="0"/>
          <w:color w:val="auto"/>
          <w:sz w:val="44"/>
          <w:szCs w:val="44"/>
          <w:highlight w:val="none"/>
          <w:lang w:eastAsia="zh-CN" w:bidi="ar-SA"/>
        </w:rPr>
      </w:pP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b w:val="0"/>
          <w:bCs w:val="0"/>
          <w:sz w:val="32"/>
          <w:szCs w:val="32"/>
          <w:highlight w:val="none"/>
        </w:rPr>
        <w:t>为深入推进大气污染防治攻坚战，根据国家和省有关要求，结合济源实际，制定本方案。</w:t>
      </w:r>
    </w:p>
    <w:p>
      <w:pPr>
        <w:keepNext w:val="0"/>
        <w:keepLines w:val="0"/>
        <w:pageBreakBefore w:val="0"/>
        <w:widowControl w:val="0"/>
        <w:kinsoku/>
        <w:wordWrap/>
        <w:overflowPunct/>
        <w:topLinePunct w:val="0"/>
        <w:autoSpaceDE/>
        <w:autoSpaceDN/>
        <w:bidi w:val="0"/>
        <w:spacing w:line="590" w:lineRule="exact"/>
        <w:ind w:firstLine="640" w:firstLineChars="200"/>
        <w:rPr>
          <w:rFonts w:ascii="宋体" w:hAnsi="宋体" w:eastAsia="黑体"/>
          <w:b w:val="0"/>
          <w:bCs w:val="0"/>
          <w:sz w:val="32"/>
          <w:szCs w:val="32"/>
          <w:highlight w:val="none"/>
        </w:rPr>
      </w:pPr>
      <w:r>
        <w:rPr>
          <w:rFonts w:hint="eastAsia" w:ascii="宋体" w:hAnsi="宋体" w:eastAsia="黑体" w:cs="黑体"/>
          <w:b w:val="0"/>
          <w:bCs w:val="0"/>
          <w:sz w:val="32"/>
          <w:szCs w:val="32"/>
          <w:highlight w:val="none"/>
        </w:rPr>
        <w:t>一、</w:t>
      </w:r>
      <w:r>
        <w:rPr>
          <w:rFonts w:hint="eastAsia" w:ascii="宋体" w:hAnsi="宋体" w:eastAsia="黑体"/>
          <w:b w:val="0"/>
          <w:bCs w:val="0"/>
          <w:sz w:val="32"/>
          <w:szCs w:val="32"/>
          <w:highlight w:val="none"/>
        </w:rPr>
        <w:t>空气质量改善目标</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b w:val="0"/>
          <w:bCs w:val="0"/>
          <w:sz w:val="32"/>
          <w:szCs w:val="32"/>
          <w:highlight w:val="none"/>
        </w:rPr>
        <w:t>环境空气质量持续改善，优良天数比例、细颗粒物（PM</w:t>
      </w:r>
      <w:r>
        <w:rPr>
          <w:rFonts w:hint="eastAsia" w:ascii="宋体" w:hAnsi="宋体" w:eastAsia="仿宋_GB2312"/>
          <w:b w:val="0"/>
          <w:bCs w:val="0"/>
          <w:sz w:val="32"/>
          <w:szCs w:val="32"/>
          <w:highlight w:val="none"/>
          <w:vertAlign w:val="subscript"/>
        </w:rPr>
        <w:t>2.5</w:t>
      </w:r>
      <w:r>
        <w:rPr>
          <w:rFonts w:hint="eastAsia" w:ascii="宋体" w:hAnsi="宋体" w:eastAsia="仿宋_GB2312"/>
          <w:b w:val="0"/>
          <w:bCs w:val="0"/>
          <w:sz w:val="32"/>
          <w:szCs w:val="32"/>
          <w:highlight w:val="none"/>
        </w:rPr>
        <w:t>）、可吸入颗粒物（PM</w:t>
      </w:r>
      <w:r>
        <w:rPr>
          <w:rFonts w:hint="eastAsia" w:ascii="宋体" w:hAnsi="宋体" w:eastAsia="仿宋_GB2312"/>
          <w:b w:val="0"/>
          <w:bCs w:val="0"/>
          <w:sz w:val="32"/>
          <w:szCs w:val="32"/>
          <w:highlight w:val="none"/>
          <w:vertAlign w:val="subscript"/>
        </w:rPr>
        <w:t>10</w:t>
      </w:r>
      <w:r>
        <w:rPr>
          <w:rFonts w:hint="eastAsia" w:ascii="宋体" w:hAnsi="宋体" w:eastAsia="仿宋_GB2312"/>
          <w:b w:val="0"/>
          <w:bCs w:val="0"/>
          <w:sz w:val="32"/>
          <w:szCs w:val="32"/>
          <w:highlight w:val="none"/>
        </w:rPr>
        <w:t>）浓度以及</w:t>
      </w:r>
      <w:r>
        <w:rPr>
          <w:rFonts w:ascii="宋体" w:hAnsi="宋体" w:eastAsia="仿宋"/>
          <w:b w:val="0"/>
          <w:bCs w:val="0"/>
          <w:sz w:val="32"/>
          <w:szCs w:val="32"/>
          <w:highlight w:val="none"/>
        </w:rPr>
        <w:t>5-9月</w:t>
      </w:r>
      <w:r>
        <w:rPr>
          <w:rFonts w:hint="eastAsia" w:ascii="宋体" w:hAnsi="宋体" w:eastAsia="仿宋_GB2312"/>
          <w:b w:val="0"/>
          <w:bCs w:val="0"/>
          <w:sz w:val="32"/>
          <w:szCs w:val="32"/>
          <w:highlight w:val="none"/>
        </w:rPr>
        <w:t>臭氧（O</w:t>
      </w:r>
      <w:r>
        <w:rPr>
          <w:rFonts w:hint="eastAsia" w:ascii="宋体" w:hAnsi="宋体" w:eastAsia="仿宋_GB2312"/>
          <w:b w:val="0"/>
          <w:bCs w:val="0"/>
          <w:sz w:val="32"/>
          <w:szCs w:val="32"/>
          <w:highlight w:val="none"/>
          <w:vertAlign w:val="subscript"/>
        </w:rPr>
        <w:t>3</w:t>
      </w:r>
      <w:r>
        <w:rPr>
          <w:rFonts w:hint="eastAsia" w:ascii="宋体" w:hAnsi="宋体" w:eastAsia="仿宋_GB2312"/>
          <w:b w:val="0"/>
          <w:bCs w:val="0"/>
          <w:sz w:val="32"/>
          <w:szCs w:val="32"/>
          <w:highlight w:val="none"/>
        </w:rPr>
        <w:t>）超标天数完成省定目标要求。</w:t>
      </w:r>
    </w:p>
    <w:p>
      <w:pPr>
        <w:keepNext w:val="0"/>
        <w:keepLines w:val="0"/>
        <w:pageBreakBefore w:val="0"/>
        <w:widowControl w:val="0"/>
        <w:kinsoku/>
        <w:wordWrap/>
        <w:overflowPunct/>
        <w:topLinePunct w:val="0"/>
        <w:autoSpaceDE/>
        <w:autoSpaceDN/>
        <w:bidi w:val="0"/>
        <w:spacing w:line="590" w:lineRule="exact"/>
        <w:ind w:firstLine="640" w:firstLineChars="200"/>
        <w:jc w:val="left"/>
        <w:rPr>
          <w:rFonts w:hint="eastAsia" w:ascii="宋体" w:hAnsi="宋体" w:eastAsia="黑体"/>
          <w:b w:val="0"/>
          <w:bCs w:val="0"/>
          <w:sz w:val="32"/>
          <w:szCs w:val="32"/>
          <w:highlight w:val="none"/>
        </w:rPr>
      </w:pPr>
      <w:r>
        <w:rPr>
          <w:rFonts w:hint="eastAsia" w:ascii="宋体" w:hAnsi="宋体" w:eastAsia="黑体"/>
          <w:b w:val="0"/>
          <w:bCs w:val="0"/>
          <w:sz w:val="32"/>
          <w:szCs w:val="32"/>
          <w:highlight w:val="none"/>
        </w:rPr>
        <w:t>二、重点任务</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0" w:name="_Hlk67588452"/>
      <w:r>
        <w:rPr>
          <w:rFonts w:hint="eastAsia" w:ascii="宋体" w:hAnsi="宋体" w:eastAsia="楷体_GB2312" w:cs="楷体_GB2312"/>
          <w:b w:val="0"/>
          <w:bCs w:val="0"/>
          <w:sz w:val="32"/>
          <w:szCs w:val="32"/>
          <w:highlight w:val="none"/>
        </w:rPr>
        <w:t>（一）优化产业结构和布局，推动产业绿色转型升级</w:t>
      </w:r>
    </w:p>
    <w:bookmarkEnd w:id="0"/>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1</w:t>
      </w:r>
      <w:r>
        <w:rPr>
          <w:rFonts w:hint="eastAsia" w:ascii="宋体" w:hAnsi="宋体" w:eastAsia="仿宋_GB2312" w:cs="仿宋_GB2312"/>
          <w:b w:val="0"/>
          <w:bCs w:val="0"/>
          <w:sz w:val="32"/>
          <w:szCs w:val="32"/>
          <w:highlight w:val="none"/>
        </w:rPr>
        <w:t>.持续优化产业布局。12月底前，完成金马能源180万吨焦化项目建设，并同步推进豫港焦化5.5米捣固焦炉的有序关停，同时对金马能源5.5米焦炉中</w:t>
      </w:r>
      <w:r>
        <w:rPr>
          <w:rFonts w:hint="eastAsia" w:ascii="宋体" w:hAnsi="宋体" w:eastAsia="仿宋_GB2312" w:cs="仿宋_GB2312"/>
          <w:b w:val="0"/>
          <w:bCs w:val="0"/>
          <w:sz w:val="32"/>
          <w:szCs w:val="32"/>
          <w:highlight w:val="none"/>
          <w:lang w:eastAsia="zh-CN"/>
        </w:rPr>
        <w:t>的</w:t>
      </w:r>
      <w:r>
        <w:rPr>
          <w:rFonts w:hint="eastAsia" w:ascii="宋体" w:hAnsi="宋体" w:eastAsia="仿宋_GB2312" w:cs="仿宋_GB2312"/>
          <w:b w:val="0"/>
          <w:bCs w:val="0"/>
          <w:sz w:val="32"/>
          <w:szCs w:val="32"/>
          <w:highlight w:val="none"/>
        </w:rPr>
        <w:t>30孔进行封堵；</w:t>
      </w:r>
      <w:r>
        <w:rPr>
          <w:rFonts w:hint="eastAsia" w:ascii="宋体" w:hAnsi="宋体" w:eastAsia="仿宋_GB2312" w:cs="仿宋_GB2312"/>
          <w:b w:val="0"/>
          <w:bCs w:val="0"/>
          <w:sz w:val="32"/>
          <w:szCs w:val="32"/>
          <w:highlight w:val="none"/>
          <w:lang w:eastAsia="zh-CN"/>
        </w:rPr>
        <w:t>工业供汽</w:t>
      </w:r>
      <w:r>
        <w:rPr>
          <w:rFonts w:hint="eastAsia" w:ascii="宋体" w:hAnsi="宋体" w:eastAsia="仿宋_GB2312" w:cs="仿宋_GB2312"/>
          <w:b w:val="0"/>
          <w:bCs w:val="0"/>
          <w:sz w:val="32"/>
          <w:szCs w:val="32"/>
          <w:highlight w:val="none"/>
        </w:rPr>
        <w:t>替代工程取得实质性进展，为国能济源热电关闭退出工作奠定基础。对城区内重污染企业进一步梳理，推动不符合城市建设规</w:t>
      </w:r>
      <w:r>
        <w:rPr>
          <w:rFonts w:hint="eastAsia" w:ascii="宋体" w:hAnsi="宋体" w:eastAsia="仿宋_GB2312"/>
          <w:b w:val="0"/>
          <w:bCs w:val="0"/>
          <w:sz w:val="32"/>
          <w:szCs w:val="32"/>
          <w:highlight w:val="none"/>
        </w:rPr>
        <w:t>划、行业发展规划、生态环境功能定位的重点污染企业退出城市建成区。（</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工业和科技创新委员会、发展改革和统计局、住房和城乡建设局按照职责分工负责，</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生态环境局、自然资源和规划局、应急管理局、财政金融局参与，相关片区管理办公室、镇人民政府、街道办事处配合）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cs="仿宋_GB2312"/>
          <w:b w:val="0"/>
          <w:bCs w:val="0"/>
          <w:sz w:val="32"/>
          <w:szCs w:val="32"/>
          <w:highlight w:val="none"/>
        </w:rPr>
      </w:pPr>
      <w:r>
        <w:rPr>
          <w:rFonts w:ascii="宋体" w:hAnsi="宋体" w:eastAsia="仿宋_GB2312" w:cs="仿宋_GB2312"/>
          <w:b w:val="0"/>
          <w:bCs w:val="0"/>
          <w:sz w:val="32"/>
          <w:szCs w:val="32"/>
          <w:highlight w:val="none"/>
        </w:rPr>
        <w:t>2.</w:t>
      </w:r>
      <w:r>
        <w:rPr>
          <w:rFonts w:hint="eastAsia" w:ascii="宋体" w:hAnsi="宋体" w:eastAsia="仿宋_GB2312" w:cs="仿宋_GB2312"/>
          <w:b w:val="0"/>
          <w:bCs w:val="0"/>
          <w:sz w:val="32"/>
          <w:szCs w:val="32"/>
          <w:highlight w:val="none"/>
        </w:rPr>
        <w:t>严格环境准入。</w:t>
      </w:r>
      <w:r>
        <w:rPr>
          <w:rFonts w:hint="eastAsia" w:ascii="宋体" w:hAnsi="宋体" w:eastAsia="仿宋_GB2312"/>
          <w:b w:val="0"/>
          <w:bCs w:val="0"/>
          <w:sz w:val="32"/>
          <w:szCs w:val="32"/>
          <w:highlight w:val="none"/>
        </w:rPr>
        <w:t>全面禁止建设列入国家、省产业政策或产业规划中的限制、淘汰类项目；根据资源环境承载能力情况，原则上不再新建、扩建单纯新增产能的钢铁、有色、水泥、玻璃、化工、火电、铸造等高能耗、高排放和产能过剩项目（钢铁、有色等传统领域的产业链延伸以及涉及绿色、智能、技术创新“三大改造”类项目除外）；耐火材料、陶瓷、石料加工、砖瓦制品等项目，安全和职业卫生危害风险大、污染严重的化工项目，涉及煤炭消费较大的项目，新建、扩建综合能源消费量超1万吨标准煤以上、水资源消费量超3万立方米以上和挥发性有机污染物、氮氧化物等主要污染物排放量较大的项目需通过资源环境承载能力评价后，方可办理相关前期手续。将国家和省重点行业绩效分级A级或绩效引领企业评定</w:t>
      </w:r>
      <w:r>
        <w:rPr>
          <w:rFonts w:hint="eastAsia" w:ascii="宋体" w:hAnsi="宋体" w:eastAsia="仿宋_GB2312"/>
          <w:b w:val="0"/>
          <w:bCs w:val="0"/>
          <w:sz w:val="32"/>
          <w:szCs w:val="32"/>
          <w:highlight w:val="none"/>
          <w:lang w:eastAsia="zh-CN"/>
        </w:rPr>
        <w:t>标准、河南省通用行业绩效评定标准</w:t>
      </w:r>
      <w:r>
        <w:rPr>
          <w:rFonts w:hint="eastAsia" w:ascii="宋体" w:hAnsi="宋体" w:eastAsia="仿宋_GB2312"/>
          <w:b w:val="0"/>
          <w:bCs w:val="0"/>
          <w:sz w:val="32"/>
          <w:szCs w:val="32"/>
          <w:highlight w:val="none"/>
        </w:rPr>
        <w:t>纳入建设项目环境影响评价“三同时”管理，依法强化源头控制，全面提升行业高质量发展。（</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工业和科技创新委员会、自然资源和规划局参与，各片区管理办公室、镇人民政府、街道办事处配合）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3</w:t>
      </w:r>
      <w:r>
        <w:rPr>
          <w:rFonts w:hint="eastAsia" w:ascii="宋体" w:hAnsi="宋体" w:eastAsia="仿宋_GB2312" w:cs="仿宋_GB2312"/>
          <w:b w:val="0"/>
          <w:bCs w:val="0"/>
          <w:sz w:val="32"/>
          <w:szCs w:val="32"/>
          <w:highlight w:val="none"/>
        </w:rPr>
        <w:t>.加快落后产能淘汰和过剩产能压减。</w:t>
      </w:r>
      <w:r>
        <w:rPr>
          <w:rFonts w:hint="eastAsia" w:ascii="宋体" w:hAnsi="宋体" w:eastAsia="仿宋_GB2312"/>
          <w:b w:val="0"/>
          <w:bCs w:val="0"/>
          <w:sz w:val="32"/>
          <w:szCs w:val="32"/>
          <w:highlight w:val="none"/>
        </w:rPr>
        <w:t>按照《河南省淘汰落后产能综合标准体系（2020年本）》，严格执行能耗、环保、质量、安全、技术等法规标准。制定工作方案，严格按照全省统一部署，对国家和我省明确的落后生产工艺装备和落后产品开展全面排查摸底，实施落后产能清零行动，巩固落后产能淘汰工作成效。（</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工业和科技创新委员会、发展改革和统计局牵头，各片区管理办公室、镇人民政府、街道办事处配合）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4</w:t>
      </w:r>
      <w:r>
        <w:rPr>
          <w:rFonts w:hint="eastAsia" w:ascii="宋体" w:hAnsi="宋体" w:eastAsia="仿宋_GB2312" w:cs="仿宋_GB2312"/>
          <w:b w:val="0"/>
          <w:bCs w:val="0"/>
          <w:sz w:val="32"/>
          <w:szCs w:val="32"/>
          <w:highlight w:val="none"/>
        </w:rPr>
        <w:t>.推动工业绿色发展。</w:t>
      </w:r>
      <w:r>
        <w:rPr>
          <w:rFonts w:hint="eastAsia" w:ascii="宋体" w:hAnsi="宋体" w:eastAsia="仿宋_GB2312"/>
          <w:b w:val="0"/>
          <w:bCs w:val="0"/>
          <w:sz w:val="32"/>
          <w:szCs w:val="32"/>
          <w:highlight w:val="none"/>
        </w:rPr>
        <w:t>实施工业低碳行动，推进钢铁、煤化工、水泥、铝加工、玻璃、耐火材料制品、煤电等产业绿色、减量、提质发展，开展全流程清洁化、循环化、低碳化改造，加快建设绿色制造体系。鼓励支持钢铁、水泥、玻璃等重点行业通过产能置换、装备大型化改造、重组整合，推进项目优化布局。鼓励玻璃熔窑采用富氧或纯氧燃烧方式。鼓励高炉-转炉长流程钢铁企业转型为电炉短流程企业。实施钢铁行业清洁生产技术改造，进一步提高烧结机烟气循环比例，减少一氧化碳等污染物排放；改造完善高炉均压煤气回收系统、高炉休风煤气放散回收系统、轧钢双蓄热式加热炉吹扫煤气回收系统，进一步提升钢铁行业清洁化生产水平。根据省钢铁、水泥、耐火材料、砖瓦窑等重点行业限制类产能装备升级改造工作方案，推进示范区限制类产能装备的升级改造。（</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工业和科技创新委员会、发展改革和统计局、生态环境局按照职责分工负责，</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市场监督管理局、应急管理局参与，各片区管理办公室、镇人民政府、街道办事处配合）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5</w:t>
      </w:r>
      <w:r>
        <w:rPr>
          <w:rFonts w:hint="eastAsia" w:ascii="宋体" w:hAnsi="宋体" w:eastAsia="仿宋_GB2312" w:cs="仿宋_GB2312"/>
          <w:b w:val="0"/>
          <w:bCs w:val="0"/>
          <w:sz w:val="32"/>
          <w:szCs w:val="32"/>
          <w:highlight w:val="none"/>
        </w:rPr>
        <w:t>.推进传统产业集群升级改造。</w:t>
      </w:r>
      <w:r>
        <w:rPr>
          <w:rFonts w:hint="eastAsia" w:ascii="宋体" w:hAnsi="宋体" w:eastAsia="仿宋_GB2312"/>
          <w:b w:val="0"/>
          <w:bCs w:val="0"/>
          <w:sz w:val="32"/>
          <w:szCs w:val="32"/>
          <w:highlight w:val="none"/>
        </w:rPr>
        <w:t>加强铸造产业清单管理和产能置换，采取堵疏结合、产能置换、关停并转等措施，进一步提升行业清洁生产水平和产业集中度。推动“区中园”建设的建材、食品加工、耐材、化工等专业园区提升改造，制定“一园一策”“一行一策”综合整治方案，督促企业提升改造，引导项目入园建设、规模发展。（</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发展改革和统计局、工业和科技创新委员会按照职责分工负责，</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w:t>
      </w:r>
      <w:r>
        <w:rPr>
          <w:rFonts w:ascii="宋体" w:hAnsi="宋体" w:eastAsia="仿宋_GB2312"/>
          <w:b w:val="0"/>
          <w:bCs w:val="0"/>
          <w:sz w:val="32"/>
          <w:szCs w:val="32"/>
          <w:highlight w:val="none"/>
        </w:rPr>
        <w:t>参与，</w:t>
      </w:r>
      <w:r>
        <w:rPr>
          <w:rFonts w:hint="eastAsia" w:ascii="宋体" w:hAnsi="宋体" w:eastAsia="仿宋_GB2312"/>
          <w:b w:val="0"/>
          <w:bCs w:val="0"/>
          <w:sz w:val="32"/>
          <w:szCs w:val="32"/>
          <w:highlight w:val="none"/>
        </w:rPr>
        <w:t>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ascii="宋体" w:hAnsi="宋体" w:eastAsia="仿宋_GB2312"/>
          <w:b w:val="0"/>
          <w:bCs w:val="0"/>
          <w:sz w:val="32"/>
          <w:szCs w:val="32"/>
          <w:highlight w:val="none"/>
        </w:rPr>
      </w:pPr>
      <w:r>
        <w:rPr>
          <w:rFonts w:ascii="宋体" w:hAnsi="宋体" w:eastAsia="仿宋_GB2312" w:cs="仿宋_GB2312"/>
          <w:b w:val="0"/>
          <w:bCs w:val="0"/>
          <w:sz w:val="32"/>
          <w:szCs w:val="32"/>
          <w:highlight w:val="none"/>
        </w:rPr>
        <w:t>6</w:t>
      </w:r>
      <w:r>
        <w:rPr>
          <w:rFonts w:hint="eastAsia" w:ascii="宋体" w:hAnsi="宋体" w:eastAsia="仿宋_GB2312" w:cs="仿宋_GB2312"/>
          <w:b w:val="0"/>
          <w:bCs w:val="0"/>
          <w:sz w:val="32"/>
          <w:szCs w:val="32"/>
          <w:highlight w:val="none"/>
        </w:rPr>
        <w:t>.持续排查整治“散乱污”企业。</w:t>
      </w:r>
      <w:r>
        <w:rPr>
          <w:rFonts w:hint="eastAsia" w:ascii="宋体" w:hAnsi="宋体" w:eastAsia="仿宋_GB2312"/>
          <w:b w:val="0"/>
          <w:bCs w:val="0"/>
          <w:sz w:val="32"/>
          <w:szCs w:val="32"/>
          <w:highlight w:val="none"/>
        </w:rPr>
        <w:t>强化“一长三员”体制建设，发挥网格化环境监管全覆盖、无盲区的作用，探索建立“散乱污”动态清零量化问责机制，对“十五小”类“散乱污”隐瞒不报或造成严重污染后果的，从重、从快落实“一案双查”，严禁以拆代管、以拆代罚，坚决杜绝“散乱污”企业滋生、异地转移和死灰复燃。（示范区生态环境局、工业和科技创新委员会牵头，市场监督管理局、水利局、济源供电公司参与</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各片区管理办公室、镇人民政府、街道办事处</w:t>
      </w:r>
      <w:r>
        <w:rPr>
          <w:rFonts w:hint="eastAsia" w:ascii="宋体" w:hAnsi="宋体" w:eastAsia="仿宋_GB2312"/>
          <w:b w:val="0"/>
          <w:bCs w:val="0"/>
          <w:sz w:val="32"/>
          <w:szCs w:val="32"/>
          <w:highlight w:val="none"/>
          <w:lang w:eastAsia="zh-CN"/>
        </w:rPr>
        <w:t>配合</w:t>
      </w:r>
      <w:r>
        <w:rPr>
          <w:rFonts w:hint="eastAsia" w:ascii="宋体" w:hAnsi="宋体" w:eastAsia="仿宋_GB2312"/>
          <w:b w:val="0"/>
          <w:bCs w:val="0"/>
          <w:sz w:val="32"/>
          <w:szCs w:val="32"/>
          <w:highlight w:val="none"/>
        </w:rPr>
        <w:t>）</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1" w:name="_Hlk67588463"/>
      <w:r>
        <w:rPr>
          <w:rFonts w:hint="eastAsia" w:ascii="宋体" w:hAnsi="宋体" w:eastAsia="楷体_GB2312" w:cs="楷体_GB2312"/>
          <w:b w:val="0"/>
          <w:bCs w:val="0"/>
          <w:sz w:val="32"/>
          <w:szCs w:val="32"/>
          <w:highlight w:val="none"/>
        </w:rPr>
        <w:t>（二）深入调整能源结构，推进能源低碳高效利用</w:t>
      </w:r>
    </w:p>
    <w:bookmarkEnd w:id="1"/>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7.严控煤炭消费总量。</w:t>
      </w:r>
      <w:r>
        <w:rPr>
          <w:rFonts w:hint="eastAsia" w:ascii="宋体" w:hAnsi="宋体" w:eastAsia="仿宋_GB2312"/>
          <w:b w:val="0"/>
          <w:bCs w:val="0"/>
          <w:sz w:val="32"/>
          <w:szCs w:val="32"/>
          <w:highlight w:val="none"/>
        </w:rPr>
        <w:t>严格落实能源消耗总量和强度“双控”，推行用能预算管理和区域能评制度，将用能权市场扩大至年综合能耗5000吨标准煤以上的重点用能企业。对于现有钢铁、火电、焦化、化工、水泥、陶瓷、砖瓦窑等以煤为燃料的行业，严格控制煤炭消费量，将煤耗指标细化分解到每一家企业，实施月调度、季考核，对超量耗煤企业实行停产整治。实施煤炭消费替代管理，所有新建、改建、扩建耗煤项目按照《济源市耗煤项目煤炭消费替代管理暂行办法》（济发改环资〔2018〕138号）实施煤炭减量或等量替代，着力压减高耗能、高排放、过剩落后产能煤炭消费总量，完成省政府下达的预期目标。（</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工业和科技创新委员会、生态环境局参与，各片区管理办公室、镇人民政府、街道办事处配合）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8</w:t>
      </w:r>
      <w:r>
        <w:rPr>
          <w:rFonts w:hint="eastAsia" w:ascii="宋体" w:hAnsi="宋体" w:eastAsia="仿宋_GB2312" w:cs="仿宋_GB2312"/>
          <w:b w:val="0"/>
          <w:bCs w:val="0"/>
          <w:sz w:val="32"/>
          <w:szCs w:val="32"/>
          <w:highlight w:val="none"/>
        </w:rPr>
        <w:t>.巩固清洁取暖成果。</w:t>
      </w:r>
      <w:r>
        <w:rPr>
          <w:rFonts w:hint="eastAsia" w:ascii="宋体" w:hAnsi="宋体" w:eastAsia="仿宋_GB2312"/>
          <w:b w:val="0"/>
          <w:bCs w:val="0"/>
          <w:sz w:val="32"/>
          <w:szCs w:val="32"/>
          <w:highlight w:val="none"/>
        </w:rPr>
        <w:t>制定清洁取暖“双替代”巩固提升行动方案，全面完成全域“双替代”目标任务。调整“禁煤区”范围并及时向社会公布，依法查处违规销售、储存、运输、使用洁净型煤和散煤的行为。加强气源和电力供应保障，继续实施清洁取暖优惠政策，确保人民群众温暖过冬、安全过冬、清洁过冬。（</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发展改革和统计局、市场监督管理局牵头，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财政金融局、交通运输局、生态环境局、济源供电公司参与，各片区管理办公室、镇人民政府、街道办事处配合）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9</w:t>
      </w:r>
      <w:r>
        <w:rPr>
          <w:rFonts w:hint="eastAsia" w:ascii="宋体" w:hAnsi="宋体" w:eastAsia="仿宋_GB2312" w:cs="仿宋_GB2312"/>
          <w:b w:val="0"/>
          <w:bCs w:val="0"/>
          <w:sz w:val="32"/>
          <w:szCs w:val="32"/>
          <w:highlight w:val="none"/>
        </w:rPr>
        <w:t>.提高建成区集中供暖普及率。</w:t>
      </w:r>
      <w:r>
        <w:rPr>
          <w:rFonts w:hint="eastAsia" w:ascii="宋体" w:hAnsi="宋体" w:eastAsia="仿宋_GB2312"/>
          <w:b w:val="0"/>
          <w:bCs w:val="0"/>
          <w:sz w:val="32"/>
          <w:szCs w:val="32"/>
          <w:highlight w:val="none"/>
        </w:rPr>
        <w:t>统筹规划城市工业热源供应，“一张网”运行城市民用供热。加快实施城镇集中供热老旧管网改造，完善济东新区集中供热管网建设，2021年采暖季前，新建、改造集中供热管网11公里，新建、改造热力站11座，新增供暖面积25万平方米，城市建成区集中供暖普及率力争达到9</w:t>
      </w:r>
      <w:r>
        <w:rPr>
          <w:rFonts w:hint="eastAsia" w:ascii="宋体" w:hAnsi="宋体" w:eastAsia="仿宋_GB2312"/>
          <w:b w:val="0"/>
          <w:bCs w:val="0"/>
          <w:sz w:val="32"/>
          <w:szCs w:val="32"/>
          <w:highlight w:val="none"/>
          <w:lang w:val="en-US" w:eastAsia="zh-CN"/>
        </w:rPr>
        <w:t>1</w:t>
      </w:r>
      <w:r>
        <w:rPr>
          <w:rFonts w:hint="eastAsia" w:ascii="宋体" w:hAnsi="宋体" w:eastAsia="仿宋_GB2312"/>
          <w:b w:val="0"/>
          <w:bCs w:val="0"/>
          <w:sz w:val="32"/>
          <w:szCs w:val="32"/>
          <w:highlight w:val="none"/>
        </w:rPr>
        <w:t>%以上。对供热管网无法覆盖的区域，支持采取地热供暖。（</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住房和城乡建设局牵头，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发展改革和统计局参与，相关片区管理办公室、镇人民政府、街道办事处配合）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10</w:t>
      </w:r>
      <w:r>
        <w:rPr>
          <w:rFonts w:hint="eastAsia" w:ascii="宋体" w:hAnsi="宋体" w:eastAsia="仿宋_GB2312" w:cs="仿宋_GB2312"/>
          <w:b w:val="0"/>
          <w:bCs w:val="0"/>
          <w:sz w:val="32"/>
          <w:szCs w:val="32"/>
          <w:highlight w:val="none"/>
        </w:rPr>
        <w:t>.加强天然气和电力供应保障。</w:t>
      </w:r>
      <w:r>
        <w:rPr>
          <w:rFonts w:hint="eastAsia" w:ascii="宋体" w:hAnsi="宋体" w:eastAsia="仿宋_GB2312"/>
          <w:b w:val="0"/>
          <w:bCs w:val="0"/>
          <w:sz w:val="32"/>
          <w:szCs w:val="32"/>
          <w:highlight w:val="none"/>
        </w:rPr>
        <w:t>加强天然气产供储销体系建设，提高天然气供应保障能力。通过多方协调气源，辅助调峰储配气设施，落实“地方政府3天、城燃企业5%”的储气能力目标任务。健全完善调峰机制，采暖季期间，天然气供应要突出“压非保民”，确保民生用气需求。（</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财政金融局、自然资源和规划局、济源供电公司参与，各片区管理办公室、镇人民政府、街道办事处配合）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ascii="宋体" w:hAnsi="宋体" w:eastAsia="仿宋_GB2312" w:cs="仿宋_GB2312"/>
          <w:b w:val="0"/>
          <w:bCs w:val="0"/>
          <w:sz w:val="32"/>
          <w:szCs w:val="32"/>
          <w:highlight w:val="none"/>
        </w:rPr>
        <w:t>1</w:t>
      </w:r>
      <w:r>
        <w:rPr>
          <w:rFonts w:hint="eastAsia" w:ascii="宋体" w:hAnsi="宋体" w:eastAsia="仿宋_GB2312" w:cs="仿宋_GB2312"/>
          <w:b w:val="0"/>
          <w:bCs w:val="0"/>
          <w:sz w:val="32"/>
          <w:szCs w:val="32"/>
          <w:highlight w:val="none"/>
        </w:rPr>
        <w:t>1.加快优化能源供给结构。</w:t>
      </w:r>
      <w:r>
        <w:rPr>
          <w:rFonts w:hint="eastAsia" w:ascii="宋体" w:hAnsi="宋体" w:eastAsia="仿宋_GB2312"/>
          <w:b w:val="0"/>
          <w:bCs w:val="0"/>
          <w:sz w:val="32"/>
          <w:szCs w:val="32"/>
          <w:highlight w:val="none"/>
        </w:rPr>
        <w:t>坚持把传统能源转型升级和大力发展新能源相统筹，优化能源供给结构，加快发展风电、光伏发电等可再生能源。可再生能源发电装机占总装机比重、新增可再生能源发电装机容量、新增可再生能源供暖比例达到省定目标要求。（</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发展改革和统计局、自然资源和规划局牵头，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财政金融局、济源供电公司参与，相关片区管理办公室、镇人民政府、街道办事处配合）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2" w:name="_Hlk67588475"/>
      <w:r>
        <w:rPr>
          <w:rFonts w:hint="eastAsia" w:ascii="宋体" w:hAnsi="宋体" w:eastAsia="楷体_GB2312" w:cs="楷体_GB2312"/>
          <w:b w:val="0"/>
          <w:bCs w:val="0"/>
          <w:sz w:val="32"/>
          <w:szCs w:val="32"/>
          <w:highlight w:val="none"/>
        </w:rPr>
        <w:t>（三）持续调整交通运输结构，强化移动源污染防治</w:t>
      </w:r>
    </w:p>
    <w:bookmarkEnd w:id="2"/>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12.优化调整货物运输结构。</w:t>
      </w:r>
      <w:r>
        <w:rPr>
          <w:rFonts w:hint="eastAsia" w:ascii="宋体" w:hAnsi="宋体" w:eastAsia="仿宋_GB2312"/>
          <w:b w:val="0"/>
          <w:bCs w:val="0"/>
          <w:sz w:val="32"/>
          <w:szCs w:val="32"/>
          <w:highlight w:val="none"/>
        </w:rPr>
        <w:t>创建城市绿色货运配送示范工程，建设“集约、高效、绿色、智能”的城市货运配送体系，</w:t>
      </w:r>
      <w:r>
        <w:rPr>
          <w:rFonts w:ascii="宋体" w:hAnsi="宋体" w:eastAsia="仿宋_GB2312"/>
          <w:b w:val="0"/>
          <w:bCs w:val="0"/>
          <w:sz w:val="32"/>
          <w:szCs w:val="32"/>
          <w:highlight w:val="none"/>
        </w:rPr>
        <w:t>重点推进河南沁河北物流枢纽园有限公司铁路专用线、金利铁路专用线</w:t>
      </w:r>
      <w:r>
        <w:rPr>
          <w:rFonts w:hint="eastAsia" w:ascii="宋体" w:hAnsi="宋体" w:eastAsia="仿宋_GB2312"/>
          <w:b w:val="0"/>
          <w:bCs w:val="0"/>
          <w:sz w:val="32"/>
          <w:szCs w:val="32"/>
          <w:highlight w:val="none"/>
        </w:rPr>
        <w:t>、豫光股份技改工程铁路专用线等项目建设，</w:t>
      </w:r>
      <w:r>
        <w:rPr>
          <w:rFonts w:ascii="宋体" w:hAnsi="宋体" w:eastAsia="仿宋_GB2312"/>
          <w:b w:val="0"/>
          <w:bCs w:val="0"/>
          <w:sz w:val="32"/>
          <w:szCs w:val="32"/>
          <w:highlight w:val="none"/>
        </w:rPr>
        <w:t>到</w:t>
      </w:r>
      <w:r>
        <w:rPr>
          <w:rFonts w:hint="eastAsia" w:ascii="宋体" w:hAnsi="宋体" w:eastAsia="仿宋_GB2312"/>
          <w:b w:val="0"/>
          <w:bCs w:val="0"/>
          <w:sz w:val="32"/>
          <w:szCs w:val="32"/>
          <w:highlight w:val="none"/>
        </w:rPr>
        <w:t>2021</w:t>
      </w:r>
      <w:r>
        <w:rPr>
          <w:rFonts w:ascii="宋体" w:hAnsi="宋体" w:eastAsia="仿宋_GB2312"/>
          <w:b w:val="0"/>
          <w:bCs w:val="0"/>
          <w:sz w:val="32"/>
          <w:szCs w:val="32"/>
          <w:highlight w:val="none"/>
        </w:rPr>
        <w:t>年</w:t>
      </w:r>
      <w:r>
        <w:rPr>
          <w:rFonts w:hint="eastAsia" w:ascii="宋体" w:hAnsi="宋体" w:eastAsia="仿宋_GB2312"/>
          <w:b w:val="0"/>
          <w:bCs w:val="0"/>
          <w:sz w:val="32"/>
          <w:szCs w:val="32"/>
          <w:highlight w:val="none"/>
        </w:rPr>
        <w:t>底</w:t>
      </w:r>
      <w:r>
        <w:rPr>
          <w:rFonts w:ascii="宋体" w:hAnsi="宋体" w:eastAsia="仿宋_GB2312"/>
          <w:b w:val="0"/>
          <w:bCs w:val="0"/>
          <w:sz w:val="32"/>
          <w:szCs w:val="32"/>
          <w:highlight w:val="none"/>
        </w:rPr>
        <w:t>，</w:t>
      </w:r>
      <w:r>
        <w:rPr>
          <w:rFonts w:hint="eastAsia" w:ascii="宋体" w:hAnsi="宋体" w:eastAsia="仿宋_GB2312"/>
          <w:b w:val="0"/>
          <w:bCs w:val="0"/>
          <w:sz w:val="32"/>
          <w:szCs w:val="32"/>
          <w:highlight w:val="none"/>
        </w:rPr>
        <w:t>力争大宗货物中长距离绿色运输比例达到75%以上。采取</w:t>
      </w:r>
      <w:r>
        <w:rPr>
          <w:rFonts w:ascii="宋体" w:hAnsi="宋体" w:eastAsia="仿宋_GB2312"/>
          <w:b w:val="0"/>
          <w:bCs w:val="0"/>
          <w:sz w:val="32"/>
          <w:szCs w:val="32"/>
          <w:highlight w:val="none"/>
        </w:rPr>
        <w:t>推进铁路专线进企入园、柴油货车新能源替代</w:t>
      </w:r>
      <w:r>
        <w:rPr>
          <w:rFonts w:hint="eastAsia" w:ascii="宋体" w:hAnsi="宋体" w:eastAsia="仿宋_GB2312"/>
          <w:b w:val="0"/>
          <w:bCs w:val="0"/>
          <w:sz w:val="32"/>
          <w:szCs w:val="32"/>
          <w:highlight w:val="none"/>
        </w:rPr>
        <w:t>、</w:t>
      </w:r>
      <w:r>
        <w:rPr>
          <w:rFonts w:ascii="宋体" w:hAnsi="宋体" w:eastAsia="仿宋_GB2312"/>
          <w:b w:val="0"/>
          <w:bCs w:val="0"/>
          <w:sz w:val="32"/>
          <w:szCs w:val="32"/>
          <w:highlight w:val="none"/>
        </w:rPr>
        <w:t>中短途运输皮带输送</w:t>
      </w:r>
      <w:r>
        <w:rPr>
          <w:rFonts w:hint="eastAsia" w:ascii="宋体" w:hAnsi="宋体" w:eastAsia="仿宋_GB2312"/>
          <w:b w:val="0"/>
          <w:bCs w:val="0"/>
          <w:sz w:val="32"/>
          <w:szCs w:val="32"/>
          <w:highlight w:val="none"/>
        </w:rPr>
        <w:t>等方式</w:t>
      </w:r>
      <w:r>
        <w:rPr>
          <w:rFonts w:ascii="宋体" w:hAnsi="宋体" w:eastAsia="仿宋_GB2312"/>
          <w:b w:val="0"/>
          <w:bCs w:val="0"/>
          <w:sz w:val="32"/>
          <w:szCs w:val="32"/>
          <w:highlight w:val="none"/>
        </w:rPr>
        <w:t>，</w:t>
      </w:r>
      <w:r>
        <w:rPr>
          <w:rFonts w:hint="eastAsia" w:ascii="宋体" w:hAnsi="宋体" w:eastAsia="仿宋_GB2312"/>
          <w:b w:val="0"/>
          <w:bCs w:val="0"/>
          <w:sz w:val="32"/>
          <w:szCs w:val="32"/>
          <w:highlight w:val="none"/>
        </w:rPr>
        <w:t>打通</w:t>
      </w:r>
      <w:r>
        <w:rPr>
          <w:rFonts w:ascii="宋体" w:hAnsi="宋体" w:eastAsia="仿宋_GB2312"/>
          <w:b w:val="0"/>
          <w:bCs w:val="0"/>
          <w:sz w:val="32"/>
          <w:szCs w:val="32"/>
          <w:highlight w:val="none"/>
        </w:rPr>
        <w:t>铁路货运站</w:t>
      </w:r>
      <w:r>
        <w:rPr>
          <w:rFonts w:hint="eastAsia" w:ascii="宋体" w:hAnsi="宋体" w:eastAsia="仿宋_GB2312"/>
          <w:b w:val="0"/>
          <w:bCs w:val="0"/>
          <w:sz w:val="32"/>
          <w:szCs w:val="32"/>
          <w:highlight w:val="none"/>
        </w:rPr>
        <w:t>到终端企业</w:t>
      </w:r>
      <w:r>
        <w:rPr>
          <w:rFonts w:ascii="宋体" w:hAnsi="宋体" w:eastAsia="仿宋_GB2312"/>
          <w:b w:val="0"/>
          <w:bCs w:val="0"/>
          <w:sz w:val="32"/>
          <w:szCs w:val="32"/>
          <w:highlight w:val="none"/>
        </w:rPr>
        <w:t>“最后一公里”。</w:t>
      </w:r>
      <w:r>
        <w:rPr>
          <w:rFonts w:hint="eastAsia" w:ascii="宋体" w:hAnsi="宋体" w:eastAsia="仿宋_GB2312"/>
          <w:b w:val="0"/>
          <w:bCs w:val="0"/>
          <w:sz w:val="32"/>
          <w:szCs w:val="32"/>
          <w:highlight w:val="none"/>
        </w:rPr>
        <w:t>持续优化路网结构布局，加快绕城</w:t>
      </w:r>
      <w:r>
        <w:rPr>
          <w:rFonts w:hint="eastAsia" w:ascii="宋体" w:hAnsi="宋体" w:eastAsia="仿宋_GB2312"/>
          <w:b w:val="0"/>
          <w:bCs w:val="0"/>
          <w:sz w:val="32"/>
          <w:szCs w:val="32"/>
          <w:highlight w:val="none"/>
          <w:lang w:eastAsia="zh-CN"/>
        </w:rPr>
        <w:t>货运</w:t>
      </w:r>
      <w:r>
        <w:rPr>
          <w:rFonts w:hint="eastAsia" w:ascii="宋体" w:hAnsi="宋体" w:eastAsia="仿宋_GB2312"/>
          <w:b w:val="0"/>
          <w:bCs w:val="0"/>
          <w:sz w:val="32"/>
          <w:szCs w:val="32"/>
          <w:highlight w:val="none"/>
        </w:rPr>
        <w:t>公路建设，减少重型货运车辆对市区环境空气</w:t>
      </w:r>
      <w:r>
        <w:rPr>
          <w:rFonts w:hint="eastAsia" w:ascii="宋体" w:hAnsi="宋体" w:eastAsia="仿宋_GB2312"/>
          <w:b w:val="0"/>
          <w:bCs w:val="0"/>
          <w:sz w:val="32"/>
          <w:szCs w:val="32"/>
          <w:highlight w:val="none"/>
          <w:lang w:eastAsia="zh-CN"/>
        </w:rPr>
        <w:t>质量</w:t>
      </w:r>
      <w:r>
        <w:rPr>
          <w:rFonts w:hint="eastAsia" w:ascii="宋体" w:hAnsi="宋体" w:eastAsia="仿宋_GB2312"/>
          <w:b w:val="0"/>
          <w:bCs w:val="0"/>
          <w:sz w:val="32"/>
          <w:szCs w:val="32"/>
          <w:highlight w:val="none"/>
        </w:rPr>
        <w:t>的影响。（</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交通运输局牵头，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发展改革和统计局、住房和城乡建设局、自然资源和规划局</w:t>
      </w:r>
      <w:r>
        <w:rPr>
          <w:rFonts w:ascii="宋体" w:hAnsi="宋体" w:eastAsia="仿宋_GB2312"/>
          <w:b w:val="0"/>
          <w:bCs w:val="0"/>
          <w:sz w:val="32"/>
          <w:szCs w:val="32"/>
          <w:highlight w:val="none"/>
        </w:rPr>
        <w:t>、</w:t>
      </w:r>
      <w:r>
        <w:rPr>
          <w:rFonts w:hint="eastAsia" w:ascii="宋体" w:hAnsi="宋体" w:eastAsia="仿宋_GB2312"/>
          <w:b w:val="0"/>
          <w:bCs w:val="0"/>
          <w:sz w:val="32"/>
          <w:szCs w:val="32"/>
          <w:highlight w:val="none"/>
        </w:rPr>
        <w:t>公安局</w:t>
      </w:r>
      <w:r>
        <w:rPr>
          <w:rFonts w:ascii="宋体" w:hAnsi="宋体" w:eastAsia="仿宋_GB2312"/>
          <w:b w:val="0"/>
          <w:bCs w:val="0"/>
          <w:sz w:val="32"/>
          <w:szCs w:val="32"/>
          <w:highlight w:val="none"/>
        </w:rPr>
        <w:t>参与</w:t>
      </w:r>
      <w:r>
        <w:rPr>
          <w:rFonts w:hint="eastAsia" w:ascii="宋体" w:hAnsi="宋体" w:eastAsia="仿宋_GB2312"/>
          <w:b w:val="0"/>
          <w:bCs w:val="0"/>
          <w:sz w:val="32"/>
          <w:szCs w:val="32"/>
          <w:highlight w:val="none"/>
        </w:rPr>
        <w:t>，各片区管理办公室、镇人民政府、街道办事处配合）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13.严格移动源源头管控。</w:t>
      </w:r>
      <w:r>
        <w:rPr>
          <w:rFonts w:hint="eastAsia" w:ascii="宋体" w:hAnsi="宋体" w:eastAsia="仿宋_GB2312"/>
          <w:b w:val="0"/>
          <w:bCs w:val="0"/>
          <w:sz w:val="32"/>
          <w:szCs w:val="32"/>
          <w:highlight w:val="none"/>
        </w:rPr>
        <w:t>把移动源数量、规格（规模）、尾气排放和能源使用情况纳入新改扩建工业和矿山开采项目立项（核准）备案、施工许可、环境影响审批、环保“三同时”自主验收范围，使用皮带输送等方式替代移动源运输，用电力替代汽柴油能源，“以新带老”对不达标机械进行淘汰和深度治理。依据《河南省实施国家第六阶段机动车排放标准的公告》，严格实施重型柴油车国六排放标准，自2021年7月1日起，进口、销售和注册登记的重型柴油车应符合《重型柴油车污染物排放限值及测量方法（中国第六阶段）》（GB17691-2018）</w:t>
      </w:r>
      <w:r>
        <w:rPr>
          <w:rFonts w:hint="eastAsia" w:ascii="宋体" w:hAnsi="宋体" w:eastAsia="仿宋_GB2312"/>
          <w:b w:val="0"/>
          <w:bCs w:val="0"/>
          <w:sz w:val="32"/>
          <w:szCs w:val="32"/>
          <w:highlight w:val="none"/>
          <w:lang w:eastAsia="zh-CN"/>
        </w:rPr>
        <w:t>阶段</w:t>
      </w:r>
      <w:r>
        <w:rPr>
          <w:rFonts w:hint="eastAsia" w:ascii="宋体" w:hAnsi="宋体" w:eastAsia="仿宋_GB2312"/>
          <w:b w:val="0"/>
          <w:bCs w:val="0"/>
          <w:sz w:val="32"/>
          <w:szCs w:val="32"/>
          <w:highlight w:val="none"/>
        </w:rPr>
        <w:t>标准要求。生态环境部门监督排放检验机构规范开展注册登记环节随车清单核验。严格销售环节非道路移动机械信息登记要求。强化新生产车（机）达标排放监管，组织开展销售环节机动车、非道路移动机械监督检查，系族年度抽检率达到80%以上。（</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公安局、工业和科技创新委员会、市场监督管理局、发展改革和统计局、济源海关参与）</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14.强化在用车排放监管。</w:t>
      </w:r>
      <w:r>
        <w:rPr>
          <w:rFonts w:hint="eastAsia" w:ascii="宋体" w:hAnsi="宋体" w:eastAsia="仿宋_GB2312"/>
          <w:b w:val="0"/>
          <w:bCs w:val="0"/>
          <w:sz w:val="32"/>
          <w:szCs w:val="32"/>
          <w:highlight w:val="none"/>
          <w:lang w:eastAsia="zh-CN"/>
        </w:rPr>
        <w:t>通过查测协同、绩效考核，高标准开展路检路查和入户检测。全面实施柴油货车OBD监控项目、门禁系统建设项目，与城市电子通行证系统相融合。将国三及以下重型柴油货车、生态环境部门监督抽测发现的超标车辆纳入入市通行管理系统，禁止在城市建成区范围内行驶。优化布局遥感监测和黑烟抓拍设施，强化相关部门执法衔接，确保超标违法车辆查处到位、治理到位、管控到位。</w:t>
      </w:r>
      <w:r>
        <w:rPr>
          <w:rFonts w:hint="eastAsia" w:ascii="宋体" w:hAnsi="宋体" w:eastAsia="仿宋_GB2312"/>
          <w:b w:val="0"/>
          <w:bCs w:val="0"/>
          <w:sz w:val="32"/>
          <w:szCs w:val="32"/>
          <w:highlight w:val="none"/>
        </w:rPr>
        <w:t>（</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生态环境局、交通运输局、公安局按照职责分工负责）</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b w:val="0"/>
          <w:bCs w:val="0"/>
          <w:sz w:val="32"/>
          <w:szCs w:val="32"/>
          <w:highlight w:val="none"/>
        </w:rPr>
        <w:t>推进I/M体系建设。</w:t>
      </w:r>
      <w:r>
        <w:rPr>
          <w:rFonts w:hint="eastAsia" w:ascii="宋体" w:hAnsi="宋体" w:eastAsia="仿宋_GB2312"/>
          <w:b w:val="0"/>
          <w:bCs w:val="0"/>
          <w:kern w:val="0"/>
          <w:sz w:val="32"/>
          <w:szCs w:val="32"/>
          <w:highlight w:val="none"/>
        </w:rPr>
        <w:t>强化车检机构检测（I站）与维修治理（M站）信息共享，实现机动车排放检验、超标车辆维修治理的闭环管理，高效推进机动车尾气污染深度治理。对车检机构</w:t>
      </w:r>
      <w:r>
        <w:rPr>
          <w:rFonts w:ascii="宋体" w:hAnsi="宋体" w:eastAsia="仿宋_GB2312"/>
          <w:b w:val="0"/>
          <w:bCs w:val="0"/>
          <w:kern w:val="0"/>
          <w:sz w:val="32"/>
          <w:szCs w:val="32"/>
          <w:highlight w:val="none"/>
        </w:rPr>
        <w:t>检测试行预约制度，</w:t>
      </w:r>
      <w:r>
        <w:rPr>
          <w:rFonts w:hint="eastAsia" w:ascii="宋体" w:hAnsi="宋体" w:eastAsia="仿宋_GB2312"/>
          <w:b w:val="0"/>
          <w:bCs w:val="0"/>
          <w:kern w:val="0"/>
          <w:sz w:val="32"/>
          <w:szCs w:val="32"/>
          <w:highlight w:val="none"/>
        </w:rPr>
        <w:t>强化</w:t>
      </w:r>
      <w:r>
        <w:rPr>
          <w:rFonts w:ascii="宋体" w:hAnsi="宋体" w:eastAsia="仿宋_GB2312"/>
          <w:b w:val="0"/>
          <w:bCs w:val="0"/>
          <w:kern w:val="0"/>
          <w:sz w:val="32"/>
          <w:szCs w:val="32"/>
          <w:highlight w:val="none"/>
        </w:rPr>
        <w:t>检测过程人工审核</w:t>
      </w:r>
      <w:r>
        <w:rPr>
          <w:rFonts w:hint="eastAsia" w:ascii="宋体" w:hAnsi="宋体" w:eastAsia="仿宋_GB2312"/>
          <w:b w:val="0"/>
          <w:bCs w:val="0"/>
          <w:kern w:val="0"/>
          <w:sz w:val="32"/>
          <w:szCs w:val="32"/>
          <w:highlight w:val="none"/>
        </w:rPr>
        <w:t>和</w:t>
      </w:r>
      <w:r>
        <w:rPr>
          <w:rFonts w:ascii="宋体" w:hAnsi="宋体" w:eastAsia="仿宋_GB2312"/>
          <w:b w:val="0"/>
          <w:bCs w:val="0"/>
          <w:kern w:val="0"/>
          <w:sz w:val="32"/>
          <w:szCs w:val="32"/>
          <w:highlight w:val="none"/>
        </w:rPr>
        <w:t>已检车辆抽检，</w:t>
      </w:r>
      <w:r>
        <w:rPr>
          <w:rFonts w:hint="eastAsia" w:ascii="宋体" w:hAnsi="宋体" w:eastAsia="仿宋_GB2312"/>
          <w:b w:val="0"/>
          <w:bCs w:val="0"/>
          <w:kern w:val="0"/>
          <w:sz w:val="32"/>
          <w:szCs w:val="32"/>
          <w:highlight w:val="none"/>
        </w:rPr>
        <w:t>倒查异常</w:t>
      </w:r>
      <w:r>
        <w:rPr>
          <w:rFonts w:ascii="宋体" w:hAnsi="宋体" w:eastAsia="仿宋_GB2312"/>
          <w:b w:val="0"/>
          <w:bCs w:val="0"/>
          <w:kern w:val="0"/>
          <w:sz w:val="32"/>
          <w:szCs w:val="32"/>
          <w:highlight w:val="none"/>
        </w:rPr>
        <w:t>车辆检测检验过程</w:t>
      </w:r>
      <w:r>
        <w:rPr>
          <w:rFonts w:hint="eastAsia" w:ascii="宋体" w:hAnsi="宋体" w:eastAsia="仿宋_GB2312"/>
          <w:b w:val="0"/>
          <w:bCs w:val="0"/>
          <w:kern w:val="0"/>
          <w:sz w:val="32"/>
          <w:szCs w:val="32"/>
          <w:highlight w:val="none"/>
        </w:rPr>
        <w:t>，</w:t>
      </w:r>
      <w:r>
        <w:rPr>
          <w:rFonts w:ascii="宋体" w:hAnsi="宋体" w:eastAsia="仿宋_GB2312"/>
          <w:b w:val="0"/>
          <w:bCs w:val="0"/>
          <w:kern w:val="0"/>
          <w:sz w:val="32"/>
          <w:szCs w:val="32"/>
          <w:highlight w:val="none"/>
        </w:rPr>
        <w:t>对违规或者平台频繁预警的</w:t>
      </w:r>
      <w:r>
        <w:rPr>
          <w:rFonts w:hint="eastAsia" w:ascii="宋体" w:hAnsi="宋体" w:eastAsia="仿宋_GB2312"/>
          <w:b w:val="0"/>
          <w:bCs w:val="0"/>
          <w:kern w:val="0"/>
          <w:sz w:val="32"/>
          <w:szCs w:val="32"/>
          <w:highlight w:val="none"/>
        </w:rPr>
        <w:t>车检</w:t>
      </w:r>
      <w:r>
        <w:rPr>
          <w:rFonts w:ascii="宋体" w:hAnsi="宋体" w:eastAsia="仿宋_GB2312"/>
          <w:b w:val="0"/>
          <w:bCs w:val="0"/>
          <w:kern w:val="0"/>
          <w:sz w:val="32"/>
          <w:szCs w:val="32"/>
          <w:highlight w:val="none"/>
        </w:rPr>
        <w:t>机构，取消预约资格</w:t>
      </w:r>
      <w:r>
        <w:rPr>
          <w:rFonts w:hint="eastAsia" w:ascii="宋体" w:hAnsi="宋体" w:eastAsia="仿宋_GB2312"/>
          <w:b w:val="0"/>
          <w:bCs w:val="0"/>
          <w:kern w:val="0"/>
          <w:sz w:val="32"/>
          <w:szCs w:val="32"/>
          <w:highlight w:val="none"/>
        </w:rPr>
        <w:t>。招募机动车尾气深度治理优秀供应商，落实O</w:t>
      </w:r>
      <w:r>
        <w:rPr>
          <w:rFonts w:ascii="宋体" w:hAnsi="宋体" w:eastAsia="仿宋_GB2312"/>
          <w:b w:val="0"/>
          <w:bCs w:val="0"/>
          <w:kern w:val="0"/>
          <w:sz w:val="32"/>
          <w:szCs w:val="32"/>
          <w:highlight w:val="none"/>
        </w:rPr>
        <w:t>BD</w:t>
      </w:r>
      <w:r>
        <w:rPr>
          <w:rFonts w:hint="eastAsia" w:ascii="宋体" w:hAnsi="宋体" w:eastAsia="仿宋_GB2312"/>
          <w:b w:val="0"/>
          <w:bCs w:val="0"/>
          <w:kern w:val="0"/>
          <w:sz w:val="32"/>
          <w:szCs w:val="32"/>
          <w:highlight w:val="none"/>
        </w:rPr>
        <w:t>监控建设和数据联网，推行产品质量责任险。开展维修单位联合执法行动，督促维修单位按照规范要求进行维修，高质量记录、上报维修信息</w:t>
      </w:r>
      <w:r>
        <w:rPr>
          <w:rFonts w:ascii="宋体" w:hAnsi="宋体" w:eastAsia="仿宋_GB2312"/>
          <w:b w:val="0"/>
          <w:bCs w:val="0"/>
          <w:kern w:val="0"/>
          <w:sz w:val="32"/>
          <w:szCs w:val="32"/>
          <w:highlight w:val="none"/>
        </w:rPr>
        <w:t>。</w:t>
      </w:r>
      <w:r>
        <w:rPr>
          <w:rFonts w:hint="eastAsia" w:ascii="宋体" w:hAnsi="宋体" w:eastAsia="仿宋_GB2312"/>
          <w:b w:val="0"/>
          <w:bCs w:val="0"/>
          <w:sz w:val="32"/>
          <w:szCs w:val="32"/>
          <w:highlight w:val="none"/>
        </w:rPr>
        <w:t>（</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生态环境局、市场监督管理局、交通运输局按照职责分工负责，</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公安局配合）</w:t>
      </w:r>
    </w:p>
    <w:p>
      <w:pPr>
        <w:keepNext w:val="0"/>
        <w:keepLines w:val="0"/>
        <w:pageBreakBefore w:val="0"/>
        <w:widowControl w:val="0"/>
        <w:kinsoku/>
        <w:wordWrap/>
        <w:overflowPunct/>
        <w:topLinePunct w:val="0"/>
        <w:autoSpaceDE/>
        <w:autoSpaceDN/>
        <w:bidi w:val="0"/>
        <w:adjustRightInd w:val="0"/>
        <w:snapToGrid w:val="0"/>
        <w:spacing w:line="590" w:lineRule="exact"/>
        <w:ind w:firstLine="640" w:firstLineChars="200"/>
        <w:rPr>
          <w:rFonts w:hint="eastAsia" w:ascii="宋体" w:hAnsi="宋体" w:eastAsia="仿宋_GB2312"/>
          <w:b w:val="0"/>
          <w:bCs w:val="0"/>
          <w:kern w:val="0"/>
          <w:sz w:val="32"/>
          <w:szCs w:val="32"/>
          <w:highlight w:val="none"/>
        </w:rPr>
      </w:pPr>
      <w:r>
        <w:rPr>
          <w:rFonts w:hint="eastAsia" w:ascii="宋体" w:hAnsi="宋体" w:eastAsia="仿宋_GB2312" w:cs="仿宋_GB2312"/>
          <w:b w:val="0"/>
          <w:bCs w:val="0"/>
          <w:kern w:val="0"/>
          <w:sz w:val="32"/>
          <w:szCs w:val="32"/>
          <w:highlight w:val="none"/>
        </w:rPr>
        <w:t>加强排放检测检验机构管理，</w:t>
      </w:r>
      <w:r>
        <w:rPr>
          <w:rFonts w:ascii="宋体" w:hAnsi="宋体" w:eastAsia="仿宋_GB2312"/>
          <w:b w:val="0"/>
          <w:bCs w:val="0"/>
          <w:kern w:val="0"/>
          <w:sz w:val="32"/>
          <w:szCs w:val="32"/>
          <w:highlight w:val="none"/>
        </w:rPr>
        <w:t>督促</w:t>
      </w:r>
      <w:r>
        <w:rPr>
          <w:rFonts w:hint="eastAsia" w:ascii="宋体" w:hAnsi="宋体" w:eastAsia="仿宋_GB2312"/>
          <w:b w:val="0"/>
          <w:bCs w:val="0"/>
          <w:kern w:val="0"/>
          <w:sz w:val="32"/>
          <w:szCs w:val="32"/>
          <w:highlight w:val="none"/>
        </w:rPr>
        <w:t>车检</w:t>
      </w:r>
      <w:r>
        <w:rPr>
          <w:rFonts w:ascii="宋体" w:hAnsi="宋体" w:eastAsia="仿宋_GB2312"/>
          <w:b w:val="0"/>
          <w:bCs w:val="0"/>
          <w:kern w:val="0"/>
          <w:sz w:val="32"/>
          <w:szCs w:val="32"/>
          <w:highlight w:val="none"/>
        </w:rPr>
        <w:t>机构对检测线进行升级改造，</w:t>
      </w:r>
      <w:r>
        <w:rPr>
          <w:rFonts w:hint="eastAsia" w:ascii="宋体" w:hAnsi="宋体" w:eastAsia="仿宋_GB2312"/>
          <w:b w:val="0"/>
          <w:bCs w:val="0"/>
          <w:kern w:val="0"/>
          <w:sz w:val="32"/>
          <w:szCs w:val="32"/>
          <w:highlight w:val="none"/>
        </w:rPr>
        <w:t>规范开展</w:t>
      </w:r>
      <w:r>
        <w:rPr>
          <w:rFonts w:ascii="宋体" w:hAnsi="宋体" w:eastAsia="仿宋_GB2312"/>
          <w:b w:val="0"/>
          <w:bCs w:val="0"/>
          <w:kern w:val="0"/>
          <w:sz w:val="32"/>
          <w:szCs w:val="32"/>
          <w:highlight w:val="none"/>
        </w:rPr>
        <w:t>氮氧化物检测及OBD远程在线监控装置检查，严厉打击</w:t>
      </w:r>
      <w:r>
        <w:rPr>
          <w:rFonts w:hint="eastAsia" w:ascii="宋体" w:hAnsi="宋体" w:eastAsia="仿宋_GB2312"/>
          <w:b w:val="0"/>
          <w:bCs w:val="0"/>
          <w:kern w:val="0"/>
          <w:sz w:val="32"/>
          <w:szCs w:val="32"/>
          <w:highlight w:val="none"/>
        </w:rPr>
        <w:t>车检</w:t>
      </w:r>
      <w:r>
        <w:rPr>
          <w:rFonts w:ascii="宋体" w:hAnsi="宋体" w:eastAsia="仿宋_GB2312"/>
          <w:b w:val="0"/>
          <w:bCs w:val="0"/>
          <w:kern w:val="0"/>
          <w:sz w:val="32"/>
          <w:szCs w:val="32"/>
          <w:highlight w:val="none"/>
        </w:rPr>
        <w:t>机构伪造检验结果、出具虚假报告等违法行为</w:t>
      </w:r>
      <w:r>
        <w:rPr>
          <w:rFonts w:hint="eastAsia" w:ascii="宋体" w:hAnsi="宋体" w:eastAsia="仿宋_GB2312"/>
          <w:b w:val="0"/>
          <w:bCs w:val="0"/>
          <w:kern w:val="0"/>
          <w:sz w:val="32"/>
          <w:szCs w:val="32"/>
          <w:highlight w:val="none"/>
          <w:lang w:val="en-US" w:eastAsia="zh-CN"/>
        </w:rPr>
        <w:t>,</w:t>
      </w:r>
      <w:r>
        <w:rPr>
          <w:rFonts w:ascii="宋体" w:hAnsi="宋体" w:eastAsia="仿宋_GB2312"/>
          <w:b w:val="0"/>
          <w:bCs w:val="0"/>
          <w:kern w:val="0"/>
          <w:sz w:val="32"/>
          <w:szCs w:val="32"/>
          <w:highlight w:val="none"/>
        </w:rPr>
        <w:t>情节严重的，</w:t>
      </w:r>
      <w:r>
        <w:rPr>
          <w:rFonts w:hint="eastAsia" w:ascii="宋体" w:hAnsi="宋体" w:eastAsia="仿宋_GB2312"/>
          <w:b w:val="0"/>
          <w:bCs w:val="0"/>
          <w:kern w:val="0"/>
          <w:sz w:val="32"/>
          <w:szCs w:val="32"/>
          <w:highlight w:val="none"/>
        </w:rPr>
        <w:t>提请取消检验资格；构成犯罪的，依法追究刑事责任</w:t>
      </w:r>
      <w:r>
        <w:rPr>
          <w:rFonts w:ascii="宋体" w:hAnsi="宋体" w:eastAsia="仿宋_GB2312"/>
          <w:b w:val="0"/>
          <w:bCs w:val="0"/>
          <w:kern w:val="0"/>
          <w:sz w:val="32"/>
          <w:szCs w:val="32"/>
          <w:highlight w:val="none"/>
        </w:rPr>
        <w:t>。</w:t>
      </w:r>
      <w:r>
        <w:rPr>
          <w:rFonts w:hint="eastAsia" w:ascii="宋体" w:hAnsi="宋体" w:eastAsia="仿宋_GB2312" w:cs="仿宋_GB2312"/>
          <w:b w:val="0"/>
          <w:bCs w:val="0"/>
          <w:kern w:val="0"/>
          <w:sz w:val="32"/>
          <w:szCs w:val="32"/>
          <w:highlight w:val="none"/>
        </w:rPr>
        <w:t>（</w:t>
      </w:r>
      <w:r>
        <w:rPr>
          <w:rFonts w:ascii="宋体" w:hAnsi="宋体" w:eastAsia="仿宋_GB2312" w:cs="仿宋_GB2312"/>
          <w:b w:val="0"/>
          <w:bCs w:val="0"/>
          <w:kern w:val="0"/>
          <w:sz w:val="32"/>
          <w:szCs w:val="32"/>
          <w:highlight w:val="none"/>
        </w:rPr>
        <w:t>示范区</w:t>
      </w:r>
      <w:r>
        <w:rPr>
          <w:rFonts w:hint="eastAsia" w:ascii="宋体" w:hAnsi="宋体" w:eastAsia="仿宋_GB2312" w:cs="仿宋_GB2312"/>
          <w:b w:val="0"/>
          <w:bCs w:val="0"/>
          <w:kern w:val="0"/>
          <w:sz w:val="32"/>
          <w:szCs w:val="32"/>
          <w:highlight w:val="none"/>
        </w:rPr>
        <w:t>生态环境局、市</w:t>
      </w:r>
      <w:r>
        <w:rPr>
          <w:rFonts w:hint="eastAsia" w:ascii="宋体" w:hAnsi="宋体" w:eastAsia="仿宋_GB2312"/>
          <w:b w:val="0"/>
          <w:bCs w:val="0"/>
          <w:kern w:val="0"/>
          <w:sz w:val="32"/>
          <w:szCs w:val="32"/>
          <w:highlight w:val="none"/>
        </w:rPr>
        <w:t>场监督管理局按照职责分工负责，</w:t>
      </w:r>
      <w:r>
        <w:rPr>
          <w:rFonts w:ascii="宋体" w:hAnsi="宋体" w:eastAsia="仿宋_GB2312"/>
          <w:b w:val="0"/>
          <w:bCs w:val="0"/>
          <w:kern w:val="0"/>
          <w:sz w:val="32"/>
          <w:szCs w:val="32"/>
          <w:highlight w:val="none"/>
        </w:rPr>
        <w:t>示范区</w:t>
      </w:r>
      <w:r>
        <w:rPr>
          <w:rFonts w:hint="eastAsia" w:ascii="宋体" w:hAnsi="宋体" w:eastAsia="仿宋_GB2312"/>
          <w:b w:val="0"/>
          <w:bCs w:val="0"/>
          <w:kern w:val="0"/>
          <w:sz w:val="32"/>
          <w:szCs w:val="32"/>
          <w:highlight w:val="none"/>
        </w:rPr>
        <w:t>公安局配合）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15.推广使用新能源汽车。</w:t>
      </w:r>
      <w:r>
        <w:rPr>
          <w:rFonts w:hint="eastAsia" w:ascii="宋体" w:hAnsi="宋体" w:eastAsia="仿宋_GB2312"/>
          <w:b w:val="0"/>
          <w:bCs w:val="0"/>
          <w:sz w:val="32"/>
          <w:szCs w:val="32"/>
          <w:highlight w:val="none"/>
        </w:rPr>
        <w:t>推动公共领域车辆新能源化</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除保留部分应急车辆及新能源汽车无法满足使用需求情况外，</w:t>
      </w:r>
      <w:r>
        <w:rPr>
          <w:rFonts w:hint="eastAsia" w:ascii="宋体" w:hAnsi="宋体" w:eastAsia="仿宋_GB2312" w:cs="宋体"/>
          <w:b w:val="0"/>
          <w:bCs w:val="0"/>
          <w:kern w:val="0"/>
          <w:sz w:val="32"/>
          <w:szCs w:val="32"/>
          <w:highlight w:val="none"/>
        </w:rPr>
        <w:t>新增及更新公交车、出租车（含巡游出租车和网约车）、环卫车辆应全部为新能源汽车。新增及更新城市邮政快递、城市物流配送车辆中，新能源汽车比例不低于95%。新增、更新公务车辆原则上全部为新能源汽车。加快推进岸电设施建设，在</w:t>
      </w:r>
      <w:r>
        <w:rPr>
          <w:rFonts w:ascii="宋体" w:hAnsi="宋体" w:eastAsia="仿宋_GB2312"/>
          <w:b w:val="0"/>
          <w:bCs w:val="0"/>
          <w:sz w:val="32"/>
          <w:szCs w:val="32"/>
          <w:highlight w:val="none"/>
        </w:rPr>
        <w:t>物流园、产业园、工业园、大型商业购物中心、农贸批发市场等</w:t>
      </w:r>
      <w:r>
        <w:rPr>
          <w:rFonts w:hint="eastAsia" w:ascii="宋体" w:hAnsi="宋体" w:eastAsia="仿宋_GB2312" w:cs="仿宋_GB2312"/>
          <w:b w:val="0"/>
          <w:bCs w:val="0"/>
          <w:sz w:val="32"/>
          <w:szCs w:val="32"/>
          <w:highlight w:val="none"/>
        </w:rPr>
        <w:t>物流集散地和公交市政等车辆集中停放地建设集中式充电桩和快速充电桩。（</w:t>
      </w:r>
      <w:r>
        <w:rPr>
          <w:rFonts w:ascii="宋体" w:hAnsi="宋体" w:eastAsia="仿宋_GB2312" w:cs="仿宋_GB2312"/>
          <w:b w:val="0"/>
          <w:bCs w:val="0"/>
          <w:sz w:val="32"/>
          <w:szCs w:val="32"/>
          <w:highlight w:val="none"/>
        </w:rPr>
        <w:t>示范区</w:t>
      </w:r>
      <w:r>
        <w:rPr>
          <w:rFonts w:hint="eastAsia" w:ascii="宋体" w:hAnsi="宋体" w:eastAsia="仿宋_GB2312" w:cs="仿宋_GB2312"/>
          <w:b w:val="0"/>
          <w:bCs w:val="0"/>
          <w:sz w:val="32"/>
          <w:szCs w:val="32"/>
          <w:highlight w:val="none"/>
        </w:rPr>
        <w:t>发展改革和统计局牵头，</w:t>
      </w:r>
      <w:r>
        <w:rPr>
          <w:rFonts w:ascii="宋体" w:hAnsi="宋体" w:eastAsia="仿宋_GB2312" w:cs="仿宋_GB2312"/>
          <w:b w:val="0"/>
          <w:bCs w:val="0"/>
          <w:sz w:val="32"/>
          <w:szCs w:val="32"/>
          <w:highlight w:val="none"/>
        </w:rPr>
        <w:t>示范区</w:t>
      </w:r>
      <w:r>
        <w:rPr>
          <w:rFonts w:hint="eastAsia" w:ascii="宋体" w:hAnsi="宋体" w:eastAsia="仿宋_GB2312" w:cs="仿宋_GB2312"/>
          <w:b w:val="0"/>
          <w:bCs w:val="0"/>
          <w:sz w:val="32"/>
          <w:szCs w:val="32"/>
          <w:highlight w:val="none"/>
        </w:rPr>
        <w:t>住房和城乡建设局、工业和科技创新委员会、交通运输局、</w:t>
      </w:r>
      <w:r>
        <w:rPr>
          <w:rFonts w:hint="eastAsia" w:ascii="宋体" w:hAnsi="宋体" w:eastAsia="仿宋_GB2312" w:cs="仿宋_GB2312"/>
          <w:b w:val="0"/>
          <w:bCs w:val="0"/>
          <w:sz w:val="32"/>
          <w:szCs w:val="32"/>
          <w:highlight w:val="none"/>
          <w:lang w:eastAsia="zh-CN"/>
        </w:rPr>
        <w:t>市</w:t>
      </w:r>
      <w:r>
        <w:rPr>
          <w:rFonts w:hint="eastAsia" w:ascii="宋体" w:hAnsi="宋体" w:eastAsia="仿宋_GB2312" w:cs="仿宋_GB2312"/>
          <w:b w:val="0"/>
          <w:bCs w:val="0"/>
          <w:sz w:val="32"/>
          <w:szCs w:val="32"/>
          <w:highlight w:val="none"/>
        </w:rPr>
        <w:t>机关事务管理局、济源供电公司配合）</w:t>
      </w:r>
    </w:p>
    <w:p>
      <w:pPr>
        <w:keepNext w:val="0"/>
        <w:keepLines w:val="0"/>
        <w:pageBreakBefore w:val="0"/>
        <w:widowControl w:val="0"/>
        <w:kinsoku/>
        <w:wordWrap/>
        <w:overflowPunct/>
        <w:topLinePunct w:val="0"/>
        <w:autoSpaceDE/>
        <w:autoSpaceDN/>
        <w:bidi w:val="0"/>
        <w:adjustRightInd w:val="0"/>
        <w:snapToGrid w:val="0"/>
        <w:spacing w:line="590" w:lineRule="exact"/>
        <w:ind w:firstLine="640" w:firstLineChars="200"/>
        <w:rPr>
          <w:rFonts w:hint="eastAsia" w:ascii="宋体" w:hAnsi="宋体" w:eastAsia="仿宋_GB2312" w:cs="宋体"/>
          <w:b w:val="0"/>
          <w:bCs w:val="0"/>
          <w:kern w:val="0"/>
          <w:sz w:val="32"/>
          <w:szCs w:val="32"/>
          <w:highlight w:val="none"/>
        </w:rPr>
      </w:pPr>
      <w:r>
        <w:rPr>
          <w:rFonts w:hint="eastAsia" w:ascii="宋体" w:hAnsi="宋体" w:eastAsia="仿宋_GB2312" w:cs="仿宋_GB2312"/>
          <w:b w:val="0"/>
          <w:bCs w:val="0"/>
          <w:sz w:val="32"/>
          <w:szCs w:val="32"/>
          <w:highlight w:val="none"/>
        </w:rPr>
        <w:t>16.加强非道路移动机械管理。</w:t>
      </w:r>
      <w:r>
        <w:rPr>
          <w:rFonts w:hint="eastAsia" w:ascii="宋体" w:hAnsi="宋体" w:eastAsia="仿宋_GB2312" w:cs="宋体"/>
          <w:b w:val="0"/>
          <w:bCs w:val="0"/>
          <w:kern w:val="0"/>
          <w:sz w:val="32"/>
          <w:szCs w:val="32"/>
          <w:highlight w:val="none"/>
        </w:rPr>
        <w:t>建立健全非道路移动机械信</w:t>
      </w:r>
      <w:r>
        <w:rPr>
          <w:rFonts w:hint="eastAsia" w:ascii="宋体" w:hAnsi="宋体" w:eastAsia="仿宋_GB2312"/>
          <w:b w:val="0"/>
          <w:bCs w:val="0"/>
          <w:sz w:val="32"/>
          <w:szCs w:val="32"/>
          <w:highlight w:val="none"/>
        </w:rPr>
        <w:t>息采集责任体系，纳入年度生态环境保护目标考核，按照全省统一部署按期完成信息采集、编码登记、定位系统安装和号牌核发。开展非道路移动机械专项行动</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加强非道路移动机械尾气排放检测工作，实行非道路移动机械所有人预约检测、号牌挂设检测和执法检查检测，对预约检测和号牌挂设检测为不合格的非道路移动机械，责成其进行污染治理，对执法检查发现使用不合格非道路移动机械的依法处罚。对在高排放非道路移动机械禁用区使用不合格非道路移动机械的依法重罚，破解劣币驱逐良币，依法推进非道路移动机械深度治理。（</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住房和城乡建设局、水利局、自然资源和规划局、交通运输局参与，各片区管理办公室、镇人民政府、街道办事处配合）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3" w:name="_Hlk67588493"/>
      <w:r>
        <w:rPr>
          <w:rFonts w:hint="eastAsia" w:ascii="宋体" w:hAnsi="宋体" w:eastAsia="楷体_GB2312" w:cs="楷体_GB2312"/>
          <w:b w:val="0"/>
          <w:bCs w:val="0"/>
          <w:sz w:val="32"/>
          <w:szCs w:val="32"/>
          <w:highlight w:val="none"/>
        </w:rPr>
        <w:t>（四）优化调整用地和农业投入结构，强化面源污染管控</w:t>
      </w:r>
    </w:p>
    <w:bookmarkEnd w:id="3"/>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17.深入开展国土绿化行动。</w:t>
      </w:r>
      <w:r>
        <w:rPr>
          <w:rFonts w:hint="eastAsia" w:ascii="宋体" w:hAnsi="宋体" w:eastAsia="仿宋_GB2312"/>
          <w:b w:val="0"/>
          <w:bCs w:val="0"/>
          <w:sz w:val="32"/>
          <w:szCs w:val="32"/>
          <w:highlight w:val="none"/>
        </w:rPr>
        <w:t>以“五年绿满山川平原、十年彩染森林济源”为总体目标，坚持把增绿增质增效作为主攻方向，高质量推进沿黄生态廊道建设，持续推进山区森林化、平原林网化、城市园林化、乡村林果化、廊道林荫化和庭院花园化，大力挖掘增绿潜力，实施精准造林。2021年底，济源城市建成区绿地率达到36.5%以上，完成造林6.45万亩、森林抚育2.8万亩、生态廊道5000亩。（</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林业局牵头，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自然资源和规划局、住房和城乡建设局参与，相关片区管理办公室、镇人民政府、街道办事处配合）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18.加强扬尘综合治理。</w:t>
      </w:r>
      <w:r>
        <w:rPr>
          <w:rFonts w:hint="eastAsia" w:ascii="宋体" w:hAnsi="宋体" w:eastAsia="仿宋_GB2312"/>
          <w:b w:val="0"/>
          <w:bCs w:val="0"/>
          <w:sz w:val="32"/>
          <w:szCs w:val="32"/>
          <w:highlight w:val="none"/>
        </w:rPr>
        <w:t>对省控尘办下达的可吸入颗粒物（PM</w:t>
      </w:r>
      <w:r>
        <w:rPr>
          <w:rFonts w:hint="eastAsia" w:ascii="宋体" w:hAnsi="宋体" w:eastAsia="仿宋_GB2312"/>
          <w:b w:val="0"/>
          <w:bCs w:val="0"/>
          <w:sz w:val="32"/>
          <w:szCs w:val="32"/>
          <w:highlight w:val="none"/>
          <w:vertAlign w:val="subscript"/>
        </w:rPr>
        <w:t>10</w:t>
      </w:r>
      <w:r>
        <w:rPr>
          <w:rFonts w:hint="eastAsia" w:ascii="宋体" w:hAnsi="宋体" w:eastAsia="仿宋_GB2312"/>
          <w:b w:val="0"/>
          <w:bCs w:val="0"/>
          <w:sz w:val="32"/>
          <w:szCs w:val="32"/>
          <w:highlight w:val="none"/>
        </w:rPr>
        <w:t>）年度目标值及月度目标值进行目标分解，健全完善扬尘污染防治考核管理责任体系，对连续两个月降尘量排名倒数或扬尘问题突出的片区、镇、街道进行约谈。住房</w:t>
      </w:r>
      <w:r>
        <w:rPr>
          <w:rFonts w:ascii="宋体" w:hAnsi="宋体" w:eastAsia="仿宋_GB2312"/>
          <w:b w:val="0"/>
          <w:bCs w:val="0"/>
          <w:sz w:val="32"/>
          <w:szCs w:val="32"/>
          <w:highlight w:val="none"/>
        </w:rPr>
        <w:t>和</w:t>
      </w:r>
      <w:r>
        <w:rPr>
          <w:rFonts w:hint="eastAsia" w:ascii="宋体" w:hAnsi="宋体" w:eastAsia="仿宋_GB2312"/>
          <w:b w:val="0"/>
          <w:bCs w:val="0"/>
          <w:sz w:val="32"/>
          <w:szCs w:val="32"/>
          <w:highlight w:val="none"/>
        </w:rPr>
        <w:t>城乡建设、交通运输、自然资源、水利等部门将落实“六个百分之百”扬尘污染防治措施、“两个禁止”（禁止现场搅拌混凝土和现场配置砂浆）、渣土物料运输车辆纳入日常安全文明施工监督范围，建立举报监督、明查暗访工作机制，将工程建设活动中未按规定采取控制措施、减少扬尘污染受到通报、约谈或行政处罚的列为不良行为。做好重污染天气预警、大风天气条件下施工工地、道路扬尘管控，保证控制效果。不断扩大道路机械化清扫和洒水范围，强化道路清洗保洁频次，综合使用信息化等手段，开展城市清洁行动，提升城市清洁质量。2021年，各镇、街道平均降尘量不得高于8吨/月·平方公里。持续推进城市建成区餐饮油烟治理，2021年底前，大型餐饮服务单位全部实现在线监控，数据接入市级监控平台。（</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住房和城乡建设局牵头，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创建办、交通运输局、自然资源和规划局、水利局、生态环境局、发展改革和统计局参与，各片区管理办公室、镇人民政府、街道办事处配合）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19.积极推进绿色矿山综合整治行动。</w:t>
      </w:r>
      <w:r>
        <w:rPr>
          <w:rFonts w:hint="eastAsia" w:ascii="宋体" w:hAnsi="宋体" w:eastAsia="仿宋_GB2312"/>
          <w:b w:val="0"/>
          <w:bCs w:val="0"/>
          <w:color w:val="000000"/>
          <w:sz w:val="32"/>
          <w:szCs w:val="32"/>
          <w:highlight w:val="none"/>
        </w:rPr>
        <w:t>积极推进绿色矿山创建，落实绿色矿山激励政策，绿色矿山在重污染天气及</w:t>
      </w:r>
      <w:r>
        <w:rPr>
          <w:rFonts w:hint="eastAsia" w:ascii="宋体" w:hAnsi="宋体" w:eastAsia="仿宋_GB2312"/>
          <w:b w:val="0"/>
          <w:bCs w:val="0"/>
          <w:color w:val="000000"/>
          <w:sz w:val="32"/>
          <w:szCs w:val="32"/>
          <w:highlight w:val="none"/>
          <w:lang w:eastAsia="zh-CN"/>
        </w:rPr>
        <w:t>生态环境保护</w:t>
      </w:r>
      <w:r>
        <w:rPr>
          <w:rFonts w:hint="eastAsia" w:ascii="宋体" w:hAnsi="宋体" w:eastAsia="仿宋_GB2312"/>
          <w:b w:val="0"/>
          <w:bCs w:val="0"/>
          <w:color w:val="000000"/>
          <w:sz w:val="32"/>
          <w:szCs w:val="32"/>
          <w:highlight w:val="none"/>
        </w:rPr>
        <w:t>督导检查、重大活动期间，在加强监管的前提下允许正常生产。对列入绿色矿山建设名录的砂石矿山、具有合法手续且符合</w:t>
      </w:r>
      <w:r>
        <w:rPr>
          <w:rFonts w:hint="eastAsia" w:ascii="宋体" w:hAnsi="宋体" w:eastAsia="仿宋_GB2312"/>
          <w:b w:val="0"/>
          <w:bCs w:val="0"/>
          <w:color w:val="000000"/>
          <w:sz w:val="32"/>
          <w:szCs w:val="32"/>
          <w:highlight w:val="none"/>
          <w:lang w:eastAsia="zh-CN"/>
        </w:rPr>
        <w:t>生态环境保护</w:t>
      </w:r>
      <w:r>
        <w:rPr>
          <w:rFonts w:hint="eastAsia" w:ascii="宋体" w:hAnsi="宋体" w:eastAsia="仿宋_GB2312"/>
          <w:b w:val="0"/>
          <w:bCs w:val="0"/>
          <w:color w:val="000000"/>
          <w:sz w:val="32"/>
          <w:szCs w:val="32"/>
          <w:highlight w:val="none"/>
        </w:rPr>
        <w:t>要求的企业和项目，不采取强制性停限产措施。制定整治方案，推动行业整合升级，从源头控制矿山污染。推动矿石采选和砂石骨料企业全面开展装备升级及深度治理，针对原料运输、贮存、装卸、破碎、转运、筛分、出料等各个生产环节存在的无组织排放污染问题，进行全流程控制、收集、净化处理，并同步安装视频监控和相应的污染物排放监测设备，优化运输方式，减少污染物排放。</w:t>
      </w:r>
      <w:r>
        <w:rPr>
          <w:rFonts w:hint="eastAsia" w:ascii="宋体" w:hAnsi="宋体" w:eastAsia="仿宋_GB2312"/>
          <w:b w:val="0"/>
          <w:bCs w:val="0"/>
          <w:sz w:val="32"/>
          <w:szCs w:val="32"/>
          <w:highlight w:val="none"/>
        </w:rPr>
        <w:t>（</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自然资源和规划局牵头，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工业和科技创新委员会、生态环境局、交通运输局按照职责分工负责，相关片区管理办公室、镇人民政府配合）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20.开展农业污染治理。</w:t>
      </w:r>
      <w:r>
        <w:rPr>
          <w:rFonts w:hint="eastAsia" w:ascii="宋体" w:hAnsi="宋体" w:eastAsia="仿宋_GB2312"/>
          <w:b w:val="0"/>
          <w:bCs w:val="0"/>
          <w:sz w:val="32"/>
          <w:szCs w:val="32"/>
          <w:highlight w:val="none"/>
        </w:rPr>
        <w:t>落实属地政府秸秆禁烧主体责任，建立完善“政府负责、部门联动、网格管理”的三级责任体系，综合运用无人机和卫星遥感、蓝天卫士监控等手段，加强秸秆焚烧监管，依法治理，严肃执纪。加快推进烟叶烤房电代煤和食用菌企业双改工作</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推进烟叶烤房电代煤工作，年度完成燃煤烤房电代煤改造30座。（示范区农业农村局、</w:t>
      </w:r>
      <w:r>
        <w:rPr>
          <w:rFonts w:hint="eastAsia" w:ascii="宋体" w:hAnsi="宋体" w:eastAsia="仿宋_GB2312"/>
          <w:b w:val="0"/>
          <w:bCs w:val="0"/>
          <w:sz w:val="32"/>
          <w:szCs w:val="32"/>
          <w:highlight w:val="none"/>
          <w:lang w:eastAsia="zh-CN"/>
        </w:rPr>
        <w:t>市</w:t>
      </w:r>
      <w:r>
        <w:rPr>
          <w:rFonts w:hint="eastAsia" w:ascii="宋体" w:hAnsi="宋体" w:eastAsia="仿宋_GB2312"/>
          <w:b w:val="0"/>
          <w:bCs w:val="0"/>
          <w:sz w:val="32"/>
          <w:szCs w:val="32"/>
          <w:highlight w:val="none"/>
        </w:rPr>
        <w:t>烟草公司按照职责分工负责，相关片区管理办公室、镇人民政府、街道办事处配合）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21.严格烟花爆竹禁放管理。</w:t>
      </w:r>
      <w:r>
        <w:rPr>
          <w:rFonts w:hint="eastAsia" w:ascii="宋体" w:hAnsi="宋体" w:eastAsia="仿宋_GB2312"/>
          <w:b w:val="0"/>
          <w:bCs w:val="0"/>
          <w:sz w:val="32"/>
          <w:szCs w:val="32"/>
          <w:highlight w:val="none"/>
        </w:rPr>
        <w:t>持续加强烟花爆竹禁燃禁放监督管理，继续施行全域禁燃禁放政策。开展烟花爆竹“打非”专项行动，推动宣传教育、销售清零、巡回检查、技防监控、严格执法等各项禁售禁放措施落实。抓紧抓实重点人员、重点部位、重点时段、重点事项</w:t>
      </w:r>
      <w:r>
        <w:rPr>
          <w:rFonts w:hint="eastAsia" w:ascii="宋体" w:hAnsi="宋体" w:eastAsia="仿宋_GB2312"/>
          <w:b w:val="0"/>
          <w:bCs w:val="0"/>
          <w:sz w:val="32"/>
          <w:szCs w:val="32"/>
          <w:highlight w:val="none"/>
          <w:lang w:eastAsia="zh-CN"/>
        </w:rPr>
        <w:t>管理</w:t>
      </w:r>
      <w:r>
        <w:rPr>
          <w:rFonts w:hint="eastAsia" w:ascii="宋体" w:hAnsi="宋体" w:eastAsia="仿宋_GB2312"/>
          <w:b w:val="0"/>
          <w:bCs w:val="0"/>
          <w:sz w:val="32"/>
          <w:szCs w:val="32"/>
          <w:highlight w:val="none"/>
        </w:rPr>
        <w:t>，严厉查处非法生产、销售、运输、储存、燃放烟花爆竹等行为，严格落实禁燃禁放要求。（</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应急管理局、公安局、</w:t>
      </w:r>
      <w:r>
        <w:rPr>
          <w:rFonts w:hint="eastAsia" w:ascii="宋体" w:hAnsi="宋体" w:eastAsia="仿宋_GB2312"/>
          <w:b w:val="0"/>
          <w:bCs w:val="0"/>
          <w:sz w:val="32"/>
          <w:szCs w:val="32"/>
          <w:highlight w:val="none"/>
          <w:lang w:eastAsia="zh-CN"/>
        </w:rPr>
        <w:t>市</w:t>
      </w:r>
      <w:r>
        <w:rPr>
          <w:rFonts w:hint="eastAsia" w:ascii="宋体" w:hAnsi="宋体" w:eastAsia="仿宋_GB2312"/>
          <w:b w:val="0"/>
          <w:bCs w:val="0"/>
          <w:sz w:val="32"/>
          <w:szCs w:val="32"/>
          <w:highlight w:val="none"/>
        </w:rPr>
        <w:t>供销合作社按照职责分工负责，各片区管理办公室、镇人民政府、街道办事处配合）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4" w:name="_Hlk67588506"/>
      <w:r>
        <w:rPr>
          <w:rFonts w:hint="eastAsia" w:ascii="宋体" w:hAnsi="宋体" w:eastAsia="楷体_GB2312" w:cs="楷体_GB2312"/>
          <w:b w:val="0"/>
          <w:bCs w:val="0"/>
          <w:sz w:val="32"/>
          <w:szCs w:val="32"/>
          <w:highlight w:val="none"/>
        </w:rPr>
        <w:t>（五）全面推行重点行业绩效分级，深化工业企业综合治理</w:t>
      </w:r>
    </w:p>
    <w:bookmarkEnd w:id="4"/>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22.推进重点行业绩效分级。</w:t>
      </w:r>
      <w:r>
        <w:rPr>
          <w:rFonts w:hint="eastAsia" w:ascii="宋体" w:hAnsi="宋体" w:eastAsia="仿宋_GB2312"/>
          <w:b w:val="0"/>
          <w:bCs w:val="0"/>
          <w:sz w:val="32"/>
          <w:szCs w:val="32"/>
          <w:highlight w:val="none"/>
        </w:rPr>
        <w:t>落实重污染天气应急减排清单动态更新机制，全力推进企业治理能力治理水平整体升级，推动企业“梯度达标”，确保同一行业内，同等绩效水平企业减排措施相一致。2021年底前，重点行业绩效分级A、B级企业力争不低于20%，基本消除D级企业。落实A、B级企业相关鼓励政策，严格执行C、D级企业污染管控措施。（</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发展改革和统计局、工业和科技创新委员会、住房和城乡建设局、交通运输局参与，各片区管理办公室、镇人民政府、街道办事处配合）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23.开展工业企业全面达标行动。</w:t>
      </w:r>
      <w:r>
        <w:rPr>
          <w:rFonts w:hint="eastAsia" w:ascii="宋体" w:hAnsi="宋体" w:eastAsia="仿宋_GB2312"/>
          <w:b w:val="0"/>
          <w:bCs w:val="0"/>
          <w:sz w:val="32"/>
          <w:szCs w:val="32"/>
          <w:highlight w:val="none"/>
        </w:rPr>
        <w:t>严格执行国家和省大气污染物排放标准，持续推进电力、钢铁、水泥、铝工业、焦化、碳素、陶瓷、砖瓦窑、铸造、铁合金、耐材、玻璃、有色金属冶炼及压延、包装印刷、工业涂装及工业炉窑等企业废气污染物全面达标排放，将烟气自动监控数据作为执法依据，加大超标处罚和联合惩戒力度。按照全省统一部署</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开展重点行业企业废气污染物达标排放执法检查，对不能稳定达标排放、不满足无组织控制要求的企业，依法实施停产治理。（</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24.强化重点行业超低排放改造。</w:t>
      </w:r>
      <w:r>
        <w:rPr>
          <w:rFonts w:hint="eastAsia" w:ascii="宋体" w:hAnsi="宋体" w:eastAsia="仿宋_GB2312"/>
          <w:b w:val="0"/>
          <w:bCs w:val="0"/>
          <w:sz w:val="32"/>
          <w:szCs w:val="32"/>
          <w:highlight w:val="none"/>
        </w:rPr>
        <w:t>巩固钢铁、水泥行业超低排放改造成效，完成济源钢铁、中联水泥和3家水泥粉磨站企业超低排放评估监测，未按期完成或评估监测不达标的企业按要求实施差别化电价、水价政策。按照全省统一部署，将超低排放差别化电价、水价政策向重点行业推广</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探索实施铝工业、碳素、焦化、铸造、陶瓷等行业差别化电价、水价政策。推动金马能源实施全流程超低排放改造，实现有组织废气、无组织废气排放监测监控、物料运输和化产工段等全流程、全过程管</w:t>
      </w:r>
      <w:r>
        <w:rPr>
          <w:rFonts w:hint="eastAsia" w:ascii="宋体" w:hAnsi="宋体" w:eastAsia="仿宋_GB2312"/>
          <w:b w:val="0"/>
          <w:bCs w:val="0"/>
          <w:sz w:val="32"/>
          <w:szCs w:val="32"/>
          <w:highlight w:val="none"/>
          <w:lang w:eastAsia="zh-CN"/>
        </w:rPr>
        <w:t>控</w:t>
      </w:r>
      <w:r>
        <w:rPr>
          <w:rFonts w:hint="eastAsia" w:ascii="宋体" w:hAnsi="宋体" w:eastAsia="仿宋_GB2312"/>
          <w:b w:val="0"/>
          <w:bCs w:val="0"/>
          <w:sz w:val="32"/>
          <w:szCs w:val="32"/>
          <w:highlight w:val="none"/>
        </w:rPr>
        <w:t>，有效提高焦化行业发展质量和效益，大幅削减主要大气污染物排放量。（</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工业和科技创新委员会参与，相关片区管理办公室、镇人民政府、街道办事处配合）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25.全面提升工业炉窑大气污染综合治理水平。</w:t>
      </w:r>
      <w:r>
        <w:rPr>
          <w:rFonts w:hint="eastAsia" w:ascii="宋体" w:hAnsi="宋体" w:eastAsia="仿宋_GB2312"/>
          <w:b w:val="0"/>
          <w:bCs w:val="0"/>
          <w:sz w:val="32"/>
          <w:szCs w:val="32"/>
          <w:highlight w:val="none"/>
        </w:rPr>
        <w:t>按照“淘汰一批、替代一批、治理一批”的原则，积极推进工业炉窑大气污染综合治理，加快实施煤改电、煤改气工程</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全面提升铝工业、铸造、铁合金、石灰窑、耐火材料、砖瓦窑、有色金属冶炼及压延等工业炉窑的治污设施处理能力</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加强无组织排放管控，对涉及生产过程中的煤炭、矿砂等物料运输、装卸储存、厂内转移与输送、物料加工与处理等各生产环节实施无组织排放精准治理，实现全封闭贮存及运输</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玻璃、陶瓷、耐材、碳素（石墨）、有色金属冶炼及压延行业力争50%以上企业，铝工业、砖瓦、铁合金、铸造、石灰行业力争30%以上企业，在能源类型、污染治理技术、排放限值和无组织排放四项指标方面达到绩效分级B级以上标准。</w:t>
      </w:r>
      <w:r>
        <w:rPr>
          <w:rFonts w:hint="eastAsia" w:ascii="宋体" w:hAnsi="宋体" w:eastAsia="仿宋_GB2312"/>
          <w:b w:val="0"/>
          <w:bCs w:val="0"/>
          <w:sz w:val="32"/>
          <w:szCs w:val="32"/>
          <w:highlight w:val="none"/>
          <w:lang w:eastAsia="zh-CN"/>
        </w:rPr>
        <w:t>强化</w:t>
      </w:r>
      <w:r>
        <w:rPr>
          <w:rFonts w:hint="eastAsia" w:ascii="宋体" w:hAnsi="宋体" w:eastAsia="仿宋_GB2312"/>
          <w:b w:val="0"/>
          <w:bCs w:val="0"/>
          <w:sz w:val="32"/>
          <w:szCs w:val="32"/>
          <w:highlight w:val="none"/>
        </w:rPr>
        <w:t>烟气循环等节能减排技术</w:t>
      </w:r>
      <w:r>
        <w:rPr>
          <w:rFonts w:hint="eastAsia" w:ascii="宋体" w:hAnsi="宋体" w:eastAsia="仿宋_GB2312"/>
          <w:b w:val="0"/>
          <w:bCs w:val="0"/>
          <w:sz w:val="32"/>
          <w:szCs w:val="32"/>
          <w:highlight w:val="none"/>
          <w:lang w:eastAsia="zh-CN"/>
        </w:rPr>
        <w:t>在</w:t>
      </w:r>
      <w:r>
        <w:rPr>
          <w:rFonts w:hint="eastAsia" w:ascii="宋体" w:hAnsi="宋体" w:eastAsia="仿宋_GB2312"/>
          <w:b w:val="0"/>
          <w:bCs w:val="0"/>
          <w:sz w:val="32"/>
          <w:szCs w:val="32"/>
          <w:highlight w:val="none"/>
        </w:rPr>
        <w:t>烧结机等一氧化碳重点排放工业炉窑</w:t>
      </w:r>
      <w:r>
        <w:rPr>
          <w:rFonts w:hint="eastAsia" w:ascii="宋体" w:hAnsi="宋体" w:eastAsia="仿宋_GB2312"/>
          <w:b w:val="0"/>
          <w:bCs w:val="0"/>
          <w:sz w:val="32"/>
          <w:szCs w:val="32"/>
          <w:highlight w:val="none"/>
          <w:lang w:eastAsia="zh-CN"/>
        </w:rPr>
        <w:t>上的应用</w:t>
      </w:r>
      <w:r>
        <w:rPr>
          <w:rFonts w:hint="eastAsia" w:ascii="宋体" w:hAnsi="宋体" w:eastAsia="仿宋_GB2312"/>
          <w:b w:val="0"/>
          <w:bCs w:val="0"/>
          <w:sz w:val="32"/>
          <w:szCs w:val="32"/>
          <w:highlight w:val="none"/>
        </w:rPr>
        <w:t>，促进</w:t>
      </w:r>
      <w:r>
        <w:rPr>
          <w:rFonts w:hint="eastAsia" w:ascii="宋体" w:hAnsi="宋体" w:eastAsia="仿宋_GB2312"/>
          <w:b w:val="0"/>
          <w:bCs w:val="0"/>
          <w:sz w:val="32"/>
          <w:szCs w:val="32"/>
          <w:highlight w:val="none"/>
          <w:lang w:eastAsia="zh-CN"/>
        </w:rPr>
        <w:t>环境空气</w:t>
      </w:r>
      <w:r>
        <w:rPr>
          <w:rFonts w:hint="eastAsia" w:ascii="宋体" w:hAnsi="宋体" w:eastAsia="仿宋_GB2312"/>
          <w:b w:val="0"/>
          <w:bCs w:val="0"/>
          <w:sz w:val="32"/>
          <w:szCs w:val="32"/>
          <w:highlight w:val="none"/>
        </w:rPr>
        <w:t>一氧化碳指标持续改善。其他行业工业炉窑，在稳定达到特别排放限值或河南省工业炉窑排放标准基础上，对标绩效分级A、B级及绩效引领企业标准，完成治污设施提升改造。（</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26.推进火电行业污染物总量减排。</w:t>
      </w:r>
      <w:r>
        <w:rPr>
          <w:rFonts w:hint="eastAsia" w:ascii="宋体" w:hAnsi="宋体" w:eastAsia="仿宋_GB2312"/>
          <w:b w:val="0"/>
          <w:bCs w:val="0"/>
          <w:sz w:val="32"/>
          <w:szCs w:val="32"/>
          <w:highlight w:val="none"/>
        </w:rPr>
        <w:t>加强火电行业燃煤质量监管，每季度</w:t>
      </w:r>
      <w:r>
        <w:rPr>
          <w:rFonts w:hint="eastAsia" w:ascii="宋体" w:hAnsi="宋体" w:eastAsia="仿宋_GB2312"/>
          <w:b w:val="0"/>
          <w:bCs w:val="0"/>
          <w:sz w:val="32"/>
          <w:szCs w:val="32"/>
          <w:highlight w:val="none"/>
          <w:lang w:eastAsia="zh-CN"/>
        </w:rPr>
        <w:t>对</w:t>
      </w:r>
      <w:r>
        <w:rPr>
          <w:rFonts w:hint="eastAsia" w:ascii="宋体" w:hAnsi="宋体" w:eastAsia="仿宋_GB2312"/>
          <w:b w:val="0"/>
          <w:bCs w:val="0"/>
          <w:sz w:val="32"/>
          <w:szCs w:val="32"/>
          <w:highlight w:val="none"/>
        </w:rPr>
        <w:t>火电企业燃煤情况进行一次全覆盖检查，严厉查处使用劣质煤的火电企业。充分发挥</w:t>
      </w:r>
      <w:r>
        <w:rPr>
          <w:rFonts w:ascii="宋体" w:hAnsi="宋体" w:eastAsia="仿宋_GB2312"/>
          <w:b w:val="0"/>
          <w:bCs w:val="0"/>
          <w:sz w:val="32"/>
          <w:szCs w:val="32"/>
          <w:highlight w:val="none"/>
        </w:rPr>
        <w:t>排污许可证</w:t>
      </w:r>
      <w:r>
        <w:rPr>
          <w:rFonts w:hint="eastAsia" w:ascii="宋体" w:hAnsi="宋体" w:eastAsia="仿宋_GB2312"/>
          <w:b w:val="0"/>
          <w:bCs w:val="0"/>
          <w:sz w:val="32"/>
          <w:szCs w:val="32"/>
          <w:highlight w:val="none"/>
        </w:rPr>
        <w:t>作用，依法督促企业采用低硫、低灰、高热值燃煤，加大优质煤的储存力度，减轻秋冬季采购压力，通过煤质提升降低火电行业污染物排放量。加强火电行业脱硝技术提升，大幅削减氨逃逸量，确保氨逃逸浓度不高于8毫克/立方米</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提升火电行业已建成除尘、脱硫、脱硝设施运行绩效，进一步强化污染物排放全过程控制和管理</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实现重点管控时段的污染物排放量可调控。（</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发展改革和统计局、市场监督管理局、济源供电公司参与，</w:t>
      </w:r>
      <w:r>
        <w:rPr>
          <w:rFonts w:ascii="宋体" w:hAnsi="宋体" w:eastAsia="仿宋_GB2312"/>
          <w:b w:val="0"/>
          <w:bCs w:val="0"/>
          <w:sz w:val="32"/>
          <w:szCs w:val="32"/>
          <w:highlight w:val="none"/>
        </w:rPr>
        <w:t>相关</w:t>
      </w:r>
      <w:r>
        <w:rPr>
          <w:rFonts w:hint="eastAsia" w:ascii="宋体" w:hAnsi="宋体" w:eastAsia="仿宋_GB2312"/>
          <w:b w:val="0"/>
          <w:bCs w:val="0"/>
          <w:sz w:val="32"/>
          <w:szCs w:val="32"/>
          <w:highlight w:val="none"/>
        </w:rPr>
        <w:t>镇人民政府配合）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27.加强生活垃圾焚烧企业污染治理。</w:t>
      </w:r>
      <w:r>
        <w:rPr>
          <w:rFonts w:hint="eastAsia" w:ascii="宋体" w:hAnsi="宋体" w:eastAsia="仿宋_GB2312"/>
          <w:b w:val="0"/>
          <w:bCs w:val="0"/>
          <w:sz w:val="32"/>
          <w:szCs w:val="32"/>
          <w:highlight w:val="none"/>
        </w:rPr>
        <w:t>指导霖林环保科学制定年度检修计划，推进垃圾焚烧发电企业全面完成提标治理，焚烧炉烟气颗粒物、二氧化硫、氮氧化物排放浓度（1小时均值）在基准氧含量11%的条件下</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分别不高于10、35、100毫克/立方米，焚烧废气氨逃逸浓度不高于8毫克/立方米。指导企业加强污染治理设施运行管理，重点关注喷氨量、活性炭喷射量、“3T+E”控制（足够温度、足够的时间、湍流和过量的空气）等，加大二</w:t>
      </w:r>
      <w:r>
        <w:rPr>
          <w:rFonts w:hint="eastAsia" w:ascii="宋体" w:hAnsi="宋体" w:cs="宋体"/>
          <w:b w:val="0"/>
          <w:bCs w:val="0"/>
          <w:sz w:val="32"/>
          <w:szCs w:val="32"/>
          <w:highlight w:val="none"/>
        </w:rPr>
        <w:t>噁</w:t>
      </w:r>
      <w:r>
        <w:rPr>
          <w:rFonts w:hint="eastAsia" w:ascii="宋体" w:hAnsi="宋体" w:eastAsia="仿宋_GB2312" w:cs="仿宋_GB2312"/>
          <w:b w:val="0"/>
          <w:bCs w:val="0"/>
          <w:sz w:val="32"/>
          <w:szCs w:val="32"/>
          <w:highlight w:val="none"/>
        </w:rPr>
        <w:t>英、重金属及酸性气体等污染物减排，鼓励企业实施二</w:t>
      </w:r>
      <w:r>
        <w:rPr>
          <w:rFonts w:hint="eastAsia" w:ascii="宋体" w:hAnsi="宋体" w:cs="宋体"/>
          <w:b w:val="0"/>
          <w:bCs w:val="0"/>
          <w:sz w:val="32"/>
          <w:szCs w:val="32"/>
          <w:highlight w:val="none"/>
        </w:rPr>
        <w:t>噁</w:t>
      </w:r>
      <w:r>
        <w:rPr>
          <w:rFonts w:hint="eastAsia" w:ascii="宋体" w:hAnsi="宋体" w:eastAsia="仿宋_GB2312" w:cs="仿宋_GB2312"/>
          <w:b w:val="0"/>
          <w:bCs w:val="0"/>
          <w:sz w:val="32"/>
          <w:szCs w:val="32"/>
          <w:highlight w:val="none"/>
        </w:rPr>
        <w:t>英、重金属在线监测。（</w:t>
      </w:r>
      <w:r>
        <w:rPr>
          <w:rFonts w:ascii="宋体" w:hAnsi="宋体" w:eastAsia="仿宋_GB2312" w:cs="仿宋_GB2312"/>
          <w:b w:val="0"/>
          <w:bCs w:val="0"/>
          <w:sz w:val="32"/>
          <w:szCs w:val="32"/>
          <w:highlight w:val="none"/>
        </w:rPr>
        <w:t>示范区</w:t>
      </w:r>
      <w:r>
        <w:rPr>
          <w:rFonts w:hint="eastAsia" w:ascii="宋体" w:hAnsi="宋体" w:eastAsia="仿宋_GB2312" w:cs="仿宋_GB2312"/>
          <w:b w:val="0"/>
          <w:bCs w:val="0"/>
          <w:sz w:val="32"/>
          <w:szCs w:val="32"/>
          <w:highlight w:val="none"/>
        </w:rPr>
        <w:t>生态环境局牵头，</w:t>
      </w:r>
      <w:r>
        <w:rPr>
          <w:rFonts w:ascii="宋体" w:hAnsi="宋体" w:eastAsia="仿宋_GB2312" w:cs="仿宋_GB2312"/>
          <w:b w:val="0"/>
          <w:bCs w:val="0"/>
          <w:sz w:val="32"/>
          <w:szCs w:val="32"/>
          <w:highlight w:val="none"/>
        </w:rPr>
        <w:t>示范区</w:t>
      </w:r>
      <w:r>
        <w:rPr>
          <w:rFonts w:hint="eastAsia" w:ascii="宋体" w:hAnsi="宋体" w:eastAsia="仿宋_GB2312" w:cs="仿宋_GB2312"/>
          <w:b w:val="0"/>
          <w:bCs w:val="0"/>
          <w:sz w:val="32"/>
          <w:szCs w:val="32"/>
          <w:highlight w:val="none"/>
        </w:rPr>
        <w:t>住房和城乡建设局、发展改革和统计局、济源供电公司参与，</w:t>
      </w:r>
      <w:r>
        <w:rPr>
          <w:rFonts w:ascii="宋体" w:hAnsi="宋体" w:eastAsia="仿宋_GB2312" w:cs="仿宋_GB2312"/>
          <w:b w:val="0"/>
          <w:bCs w:val="0"/>
          <w:sz w:val="32"/>
          <w:szCs w:val="32"/>
          <w:highlight w:val="none"/>
        </w:rPr>
        <w:t>相关</w:t>
      </w:r>
      <w:r>
        <w:rPr>
          <w:rFonts w:hint="eastAsia" w:ascii="宋体" w:hAnsi="宋体" w:eastAsia="仿宋_GB2312" w:cs="仿宋_GB2312"/>
          <w:b w:val="0"/>
          <w:bCs w:val="0"/>
          <w:sz w:val="32"/>
          <w:szCs w:val="32"/>
          <w:highlight w:val="none"/>
        </w:rPr>
        <w:t>片区管理办公室</w:t>
      </w:r>
      <w:r>
        <w:rPr>
          <w:rFonts w:hint="eastAsia" w:ascii="宋体" w:hAnsi="宋体" w:eastAsia="仿宋_GB2312"/>
          <w:b w:val="0"/>
          <w:bCs w:val="0"/>
          <w:sz w:val="32"/>
          <w:szCs w:val="32"/>
          <w:highlight w:val="none"/>
        </w:rPr>
        <w:t>、镇人民政府、街道办事处配合）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28.强化重点涉气行业清洁生产审核。</w:t>
      </w:r>
      <w:r>
        <w:rPr>
          <w:rFonts w:hint="eastAsia" w:ascii="宋体" w:hAnsi="宋体" w:eastAsia="仿宋_GB2312"/>
          <w:b w:val="0"/>
          <w:bCs w:val="0"/>
          <w:sz w:val="32"/>
          <w:szCs w:val="32"/>
          <w:highlight w:val="none"/>
        </w:rPr>
        <w:t>认真落实《关于深入推进重点行业清洁生产审核工作的通知》要求，以能源、冶金、焦化、建材、有色、化工、原料药、铸造、碳素、工业涂装、包装印刷等行业作为清洁生产审核的重点，制定清洁生产审核实施方案（2021-2023年），全面落实强制性清洁生产审核要求，开展清洁生产水平和绩效整体评估，将企业清洁生产审核情况纳入企业环境信用评价体系和环境信息强制性披露范围，对违反《中华人民共和国清洁生产促进法》和《清洁生产审核办法》相关规定并受到处罚的企业，依法依规通过“信用中国”网站等渠道向社会公布，并记入其信用记录。（</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w:t>
      </w:r>
      <w:r>
        <w:rPr>
          <w:rFonts w:ascii="宋体" w:hAnsi="宋体" w:eastAsia="仿宋_GB2312"/>
          <w:b w:val="0"/>
          <w:bCs w:val="0"/>
          <w:sz w:val="32"/>
          <w:szCs w:val="32"/>
          <w:highlight w:val="none"/>
        </w:rPr>
        <w:t>参与</w:t>
      </w:r>
      <w:r>
        <w:rPr>
          <w:rFonts w:hint="eastAsia" w:ascii="宋体" w:hAnsi="宋体" w:eastAsia="仿宋_GB2312"/>
          <w:b w:val="0"/>
          <w:bCs w:val="0"/>
          <w:sz w:val="32"/>
          <w:szCs w:val="32"/>
          <w:highlight w:val="none"/>
        </w:rPr>
        <w:t>，</w:t>
      </w:r>
      <w:r>
        <w:rPr>
          <w:rFonts w:ascii="宋体" w:hAnsi="宋体" w:eastAsia="仿宋_GB2312"/>
          <w:b w:val="0"/>
          <w:bCs w:val="0"/>
          <w:sz w:val="32"/>
          <w:szCs w:val="32"/>
          <w:highlight w:val="none"/>
        </w:rPr>
        <w:t>相关</w:t>
      </w:r>
      <w:r>
        <w:rPr>
          <w:rFonts w:hint="eastAsia" w:ascii="宋体" w:hAnsi="宋体" w:eastAsia="仿宋_GB2312"/>
          <w:b w:val="0"/>
          <w:bCs w:val="0"/>
          <w:sz w:val="32"/>
          <w:szCs w:val="32"/>
          <w:highlight w:val="none"/>
        </w:rPr>
        <w:t>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5" w:name="_Hlk67588520"/>
      <w:r>
        <w:rPr>
          <w:rFonts w:hint="eastAsia" w:ascii="宋体" w:hAnsi="宋体" w:eastAsia="楷体_GB2312" w:cs="楷体_GB2312"/>
          <w:b w:val="0"/>
          <w:bCs w:val="0"/>
          <w:sz w:val="32"/>
          <w:szCs w:val="32"/>
          <w:highlight w:val="none"/>
        </w:rPr>
        <w:t>（六）强化臭氧协同控制，持续深化挥发性有机物污染治理</w:t>
      </w:r>
    </w:p>
    <w:bookmarkEnd w:id="5"/>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29.大力推进源头替代。</w:t>
      </w:r>
      <w:r>
        <w:rPr>
          <w:rFonts w:hint="eastAsia" w:ascii="宋体" w:hAnsi="宋体" w:eastAsia="仿宋_GB2312"/>
          <w:b w:val="0"/>
          <w:bCs w:val="0"/>
          <w:sz w:val="32"/>
          <w:szCs w:val="32"/>
          <w:highlight w:val="none"/>
        </w:rPr>
        <w:t>通过使用水性、粉末、高固体分、无溶剂、辐射固化等低VOCs含量的涂料，水性、辐射固化、植物基等低VOCs含量的油墨，水基、热熔、无溶剂、辐射固化、改性、生物降解等低VOCs含量的胶粘剂，以及低VOCs含量、低反应活性的清洗剂等，替代溶剂型涂料、油墨、胶粘剂、清洗剂等，从源头减少VOCs产生。（</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工业和科技创新委员会、生态环境局、市场监督管理局按照职责分工负责，各片区管理办公室、镇人民政府、街道办事处配合）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30.加强工业企业VOCs全过程运行管理。</w:t>
      </w:r>
      <w:r>
        <w:rPr>
          <w:rFonts w:hint="eastAsia" w:ascii="宋体" w:hAnsi="宋体" w:eastAsia="仿宋_GB2312"/>
          <w:b w:val="0"/>
          <w:bCs w:val="0"/>
          <w:sz w:val="32"/>
          <w:szCs w:val="32"/>
          <w:highlight w:val="none"/>
        </w:rPr>
        <w:t>巩固VOCs综合治理成效，聚焦提升企业废气收集率、治理设施同步运行率和去除率，鼓励企业采用高于现行标准要求的治理措施，取消废气排放系统旁路设置，因安全生产等原因必须保留的，应逐一报备并加强日常监管。强化VOCs无组织排放收集，在保证安全的前提下，实施含VOCs物料全方位、全链条、全环节密闭管理，实现厂房由开敞变密闭、由常压变负压、由逸散变聚合、空气由污浊变清新的“四由四变”目标。2021年5月起，生态环境部门组织开展夏季VOCs重点排放单位专项检查，依法查处涉挥发性有机物环境违法行为。（</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31.加大油品储运销全过程VOCs管控力度。</w:t>
      </w:r>
      <w:r>
        <w:rPr>
          <w:rFonts w:hint="eastAsia" w:ascii="宋体" w:hAnsi="宋体" w:eastAsia="仿宋_GB2312"/>
          <w:b w:val="0"/>
          <w:bCs w:val="0"/>
          <w:sz w:val="32"/>
          <w:szCs w:val="32"/>
          <w:highlight w:val="none"/>
        </w:rPr>
        <w:t>加强对油气回收系统的双随机检查和监督抽测，对检查监测不合格的储油库、加油站、油罐车等依法依规予以处罚。指导储油库、加油站和油罐车业主单位按规范对油气回收装置进行检测和维护，并生成季度自检报告，原始检测数据至少保留两年以上，卸油区视频监控数据保留3个月以上。新建储油库、加油站、新增油罐车需同步配套建设油气回收设施，推动新建储油库、加油站建设自动监控设施并与生态环境部门联网。（</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生态环境局、市场监督管理局按照职责分工负责，</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32.深化工业园区和集群VOCs整治。</w:t>
      </w:r>
      <w:r>
        <w:rPr>
          <w:rFonts w:hint="eastAsia" w:ascii="宋体" w:hAnsi="宋体" w:eastAsia="仿宋_GB2312"/>
          <w:b w:val="0"/>
          <w:bCs w:val="0"/>
          <w:sz w:val="32"/>
          <w:szCs w:val="32"/>
          <w:highlight w:val="none"/>
        </w:rPr>
        <w:t>针对石化、化工、涂装工序、包装印刷、家具制造等涉VOCs重点工业园区和涉VOCs重点企业集群，因地制宜，制定“一园一策”综合治理方案，依据工艺特点实施针对性的集中治理</w:t>
      </w:r>
      <w:r>
        <w:rPr>
          <w:rFonts w:hint="eastAsia" w:ascii="宋体" w:hAnsi="宋体" w:eastAsia="仿宋_GB2312"/>
          <w:b w:val="0"/>
          <w:bCs w:val="0"/>
          <w:sz w:val="32"/>
          <w:szCs w:val="32"/>
          <w:highlight w:val="none"/>
          <w:lang w:eastAsia="zh-CN"/>
        </w:rPr>
        <w:t>；</w:t>
      </w:r>
      <w:r>
        <w:rPr>
          <w:rFonts w:hint="eastAsia" w:ascii="宋体" w:hAnsi="宋体" w:eastAsia="仿宋_GB2312"/>
          <w:b w:val="0"/>
          <w:bCs w:val="0"/>
          <w:sz w:val="32"/>
          <w:szCs w:val="32"/>
          <w:highlight w:val="none"/>
        </w:rPr>
        <w:t>家具制造、皮革制品、制鞋、包装印刷等以小企业为主的集群重点推动源头替代；汽修、人造板等企业集群重点推动优化整合。推进涉VOCs工业园区建设“绿岛”项目，对石化、化工类园区推进统一泄漏检测与修复信息管理系统，有机溶剂使用量大的建设集中回收处置中心；普遍采用活性炭吸附有机废气的企业，建设统一的脱附、再生处理中心或使用移动式脱附车。（</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发展改革和统计局、工业和科技创新委员会参与，各片区管理办公室、镇人民政府、街道办事处配合）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6" w:name="_Hlk67588530"/>
      <w:r>
        <w:rPr>
          <w:rFonts w:hint="eastAsia" w:ascii="宋体" w:hAnsi="宋体" w:eastAsia="楷体_GB2312" w:cs="楷体_GB2312"/>
          <w:b w:val="0"/>
          <w:bCs w:val="0"/>
          <w:sz w:val="32"/>
          <w:szCs w:val="32"/>
          <w:highlight w:val="none"/>
        </w:rPr>
        <w:t>（七）强化重污染天气应急管控，大力推动多污染协同减排</w:t>
      </w:r>
    </w:p>
    <w:bookmarkEnd w:id="6"/>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33.强化臭氧污染管控。</w:t>
      </w:r>
      <w:r>
        <w:rPr>
          <w:rFonts w:hint="eastAsia" w:ascii="宋体" w:hAnsi="宋体" w:eastAsia="仿宋_GB2312"/>
          <w:b w:val="0"/>
          <w:bCs w:val="0"/>
          <w:sz w:val="32"/>
          <w:szCs w:val="32"/>
          <w:highlight w:val="none"/>
        </w:rPr>
        <w:t>紧盯臭氧防控重点时段，制定臭氧管控方案，探索完善臭氧和细颗粒物协同控制应对机制，细化轻中度管控清单，采取针对性和操作性强的举措，确保措施可核查、可考核。逐步扩大臭氧和细颗粒物协同控制范围，指导有关单位和企业制定夏季“一厂一策”实施方案，重点加强加油站、储油库、VOCs重点企业及移动源的管控，出台激励政策，鼓励企业错峰生产，降低VOCs污染排放强度，减少臭氧污染，力争将更多轻中度污染天转为优良天。（</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工业和科技创新委员会、公安局、发展改革和统计局、市场监督管理局、交通运输局参与，各片区管理办公室、镇人民政府、街道办事处配合）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34.落实差异化精准管控措施。</w:t>
      </w:r>
      <w:r>
        <w:rPr>
          <w:rFonts w:hint="eastAsia" w:ascii="宋体" w:hAnsi="宋体" w:eastAsia="仿宋_GB2312"/>
          <w:b w:val="0"/>
          <w:bCs w:val="0"/>
          <w:sz w:val="32"/>
          <w:szCs w:val="32"/>
          <w:highlight w:val="none"/>
        </w:rPr>
        <w:t>规范和加强重点行业企业绩效分级管理工作，提升重污染天气应对技术支撑能力，运用排污许可依法实施更加精准的差异化管控，将减排措施落实到具体单位、具体企业、具体工地、具体生产环节，做到可操作、可监测、可核查。对治理水平先进、污染物排放量低的小微涉气企业视情况减少应急管控措施，避免对空气质量影响小的生活服务业采取停限产措施。按要求梳理确定涉及保障民生、保障城市正常运转或涉及国家战略性产业的保障类企业,对重点民生保障企业，原则上不管控、不减排、不打扰，综合运用污染源自动监控、分表计电、视频监控、无人机飞检等科技手段，最大程度减少对企业干扰。（</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生态环境局牵头，示范区工业和科技创新委员会、公安局、住房和城乡建设局、交通运输局参与，各片区管理办公室、镇人民政府、街道办事处配合）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35.加强应急运输响应。</w:t>
      </w:r>
      <w:r>
        <w:rPr>
          <w:rFonts w:hint="eastAsia" w:ascii="宋体" w:hAnsi="宋体" w:eastAsia="仿宋_GB2312"/>
          <w:b w:val="0"/>
          <w:bCs w:val="0"/>
          <w:sz w:val="32"/>
          <w:szCs w:val="32"/>
          <w:highlight w:val="none"/>
        </w:rPr>
        <w:t>结合重污染天气应急响应要求，严格运输环节源头管控，对钢铁、建材、焦化、化工、煤炭、矿山、砂石骨料等涉及大宗物料运输的重点用车企业实施应急运输响应，督促制定应急运输响应方案，合理安排运力，提前做好生产物资储备。重污染天气橙色及以上预警期间，减少或停止货物公路运输及非道路移动机械使用。（</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公安局、发展改革和统计局、交通运输局、工业和科技创新委员会参与，各片区管理办公室、镇人民政府、街道办事处配合）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36.实施重点行业错峰生产。</w:t>
      </w:r>
      <w:r>
        <w:rPr>
          <w:rFonts w:hint="eastAsia" w:ascii="宋体" w:hAnsi="宋体" w:eastAsia="仿宋_GB2312"/>
          <w:b w:val="0"/>
          <w:bCs w:val="0"/>
          <w:sz w:val="32"/>
          <w:szCs w:val="32"/>
          <w:highlight w:val="none"/>
        </w:rPr>
        <w:t>加强臭氧污染天气下的VOCs和氮氧化物排放管控，减少采暖期大气污染物排放。对石化、化工、制药、农药、工业涂装、包装印刷等行业，采取调整生产负荷方式分阶段或时段实施错峰生产调控。对钢铁、焦化、水泥、耐材、陶瓷、砖瓦窑等生产工序不可中断或短时间难以完成停产的行业，结合生产特点和对空气质量的影响，实施错峰生产调控。（</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生态环境局、工业和科技创新委员会按照职责分工负责，</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发展改革和统计局、济源供电公司参与，各片区管理办公室、镇人民政府、街道办事处配合）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楷体_GB2312" w:cs="楷体_GB2312"/>
          <w:b w:val="0"/>
          <w:bCs w:val="0"/>
          <w:sz w:val="32"/>
          <w:szCs w:val="32"/>
          <w:highlight w:val="none"/>
        </w:rPr>
      </w:pPr>
      <w:bookmarkStart w:id="7" w:name="_Hlk67588539"/>
      <w:r>
        <w:rPr>
          <w:rFonts w:hint="eastAsia" w:ascii="宋体" w:hAnsi="宋体" w:eastAsia="楷体_GB2312" w:cs="楷体_GB2312"/>
          <w:b w:val="0"/>
          <w:bCs w:val="0"/>
          <w:sz w:val="32"/>
          <w:szCs w:val="32"/>
          <w:highlight w:val="none"/>
        </w:rPr>
        <w:t>（八）强化基础能力建设，持续推进治理能力现代化</w:t>
      </w:r>
    </w:p>
    <w:bookmarkEnd w:id="7"/>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37.科学编制相关规划。</w:t>
      </w:r>
      <w:r>
        <w:rPr>
          <w:rFonts w:hint="eastAsia" w:ascii="宋体" w:hAnsi="宋体" w:eastAsia="仿宋_GB2312"/>
          <w:b w:val="0"/>
          <w:bCs w:val="0"/>
          <w:sz w:val="32"/>
          <w:szCs w:val="32"/>
          <w:highlight w:val="none"/>
        </w:rPr>
        <w:t>组织编制济源产城融合示范区“十四五”大气环境质量期限达标规划和涉挥发性有机物产业发展规划，实施大气污染源清单编制和源解析项目，积极开展细颗粒物和臭氧污染协同防控研究工作。（</w:t>
      </w:r>
      <w:r>
        <w:rPr>
          <w:rFonts w:ascii="宋体" w:hAnsi="宋体" w:eastAsia="仿宋_GB2312"/>
          <w:b w:val="0"/>
          <w:bCs w:val="0"/>
          <w:sz w:val="32"/>
          <w:szCs w:val="32"/>
          <w:highlight w:val="none"/>
        </w:rPr>
        <w:t>示</w:t>
      </w:r>
      <w:r>
        <w:rPr>
          <w:rFonts w:hint="eastAsia" w:ascii="宋体" w:hAnsi="宋体" w:eastAsia="仿宋_GB2312"/>
          <w:b w:val="0"/>
          <w:bCs w:val="0"/>
          <w:sz w:val="32"/>
          <w:szCs w:val="32"/>
          <w:highlight w:val="none"/>
        </w:rPr>
        <w:t>范区生态环境局牵头）</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38.强化政策激励引导。</w:t>
      </w:r>
      <w:r>
        <w:rPr>
          <w:rFonts w:hint="eastAsia" w:ascii="宋体" w:hAnsi="宋体" w:eastAsia="仿宋_GB2312"/>
          <w:b w:val="0"/>
          <w:bCs w:val="0"/>
          <w:sz w:val="32"/>
          <w:szCs w:val="32"/>
          <w:highlight w:val="none"/>
        </w:rPr>
        <w:t>综合运用通报排名、经济奖罚、公开约谈、追责问责等多种手段，压实属地责任，确保城市空气质量排名取得好名次。加大税收政策支持力度,严格执行环境保护税法，落实购置环境保护专用设备企业所得税抵免等税收优惠政策。对符合条件的新能源汽车免征车辆购置税,继续落实对节能、新能源车船减免车船税的政策。加大对节能环保产业的政策支持力度，完善助力绿色产业发展的价格、财税、投资等政策，推进社会化生态环境治理和保护，鼓励通过政府购买服务方式实施生态环境治理和保护。（</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发展改革和统计局、工业和科技创新委员会、财政金融局、税务局参与，各片区管理办公室、镇人民政府、街道办事处配合）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39.不断提升监测监控和分析研判水平。</w:t>
      </w:r>
      <w:r>
        <w:rPr>
          <w:rFonts w:hint="eastAsia" w:ascii="宋体" w:hAnsi="宋体" w:eastAsia="仿宋_GB2312"/>
          <w:b w:val="0"/>
          <w:bCs w:val="0"/>
          <w:sz w:val="32"/>
          <w:szCs w:val="32"/>
          <w:highlight w:val="none"/>
        </w:rPr>
        <w:t>继续聘请高水平专家团队服务济源大气攻坚，持续提升空气质量精准分析研判水平。优化完善镇环境空气质量监测站点建设，科学评价各片区、镇、街道环境空气质量状况。加快环境视频监控平台建设，实现全方位、全时段、全过程工业企业污染物排放实时监测监控。在现有环境质量VOCs监测站点基础上，进一步</w:t>
      </w:r>
      <w:r>
        <w:rPr>
          <w:rFonts w:hint="eastAsia" w:ascii="宋体" w:hAnsi="宋体" w:eastAsia="仿宋_GB2312"/>
          <w:b w:val="0"/>
          <w:bCs w:val="0"/>
          <w:sz w:val="32"/>
          <w:szCs w:val="32"/>
          <w:highlight w:val="none"/>
          <w:lang w:eastAsia="zh-CN"/>
        </w:rPr>
        <w:t>加强</w:t>
      </w:r>
      <w:r>
        <w:rPr>
          <w:rFonts w:hint="eastAsia" w:ascii="宋体" w:hAnsi="宋体" w:eastAsia="仿宋_GB2312"/>
          <w:b w:val="0"/>
          <w:bCs w:val="0"/>
          <w:sz w:val="32"/>
          <w:szCs w:val="32"/>
          <w:highlight w:val="none"/>
        </w:rPr>
        <w:t>VOCs自动监测站点建设。2021年10月底前，国五排放阶段重型柴油车OBD在线监控实现全覆盖；完成26个行业大宗物料运输企业门禁系统建设。2021年底前，完成储油库、加油站油气回收自动监控设备安装及联网工作。（</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财政金融局、交通运输局</w:t>
      </w:r>
      <w:r>
        <w:rPr>
          <w:rFonts w:ascii="宋体" w:hAnsi="宋体" w:eastAsia="仿宋_GB2312"/>
          <w:b w:val="0"/>
          <w:bCs w:val="0"/>
          <w:sz w:val="32"/>
          <w:szCs w:val="32"/>
          <w:highlight w:val="none"/>
        </w:rPr>
        <w:t>参与，</w:t>
      </w:r>
      <w:r>
        <w:rPr>
          <w:rFonts w:hint="eastAsia" w:ascii="宋体" w:hAnsi="宋体" w:eastAsia="仿宋_GB2312"/>
          <w:b w:val="0"/>
          <w:bCs w:val="0"/>
          <w:sz w:val="32"/>
          <w:szCs w:val="32"/>
          <w:highlight w:val="none"/>
        </w:rPr>
        <w:t>各片区管理办公室、镇人民政府、街道办事处配合）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40.强化监测监控数据质量控制。</w:t>
      </w:r>
      <w:r>
        <w:rPr>
          <w:rFonts w:hint="eastAsia" w:ascii="宋体" w:hAnsi="宋体" w:eastAsia="仿宋_GB2312"/>
          <w:b w:val="0"/>
          <w:bCs w:val="0"/>
          <w:sz w:val="32"/>
          <w:szCs w:val="32"/>
          <w:highlight w:val="none"/>
        </w:rPr>
        <w:t>督促第三方监测机构严格执行国家和地方的法律法规、标准和技术规范，监测机构对监测原始记录和报告归档留存，保证具有可追溯性。每年至少开展一次环境监测质量抽查工作，对监测机构和人员监测行为存在不规范或违法违规情况的，视情形给予告诫、责令改正、责令整改、罚款或撤销资质证书等处理，并公开通报，涉嫌犯罪的移交公安机关予以处理。（</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市场监督管理局</w:t>
      </w:r>
      <w:r>
        <w:rPr>
          <w:rFonts w:hint="eastAsia" w:ascii="宋体" w:hAnsi="宋体" w:eastAsia="仿宋_GB2312"/>
          <w:b w:val="0"/>
          <w:bCs w:val="0"/>
          <w:sz w:val="32"/>
          <w:szCs w:val="32"/>
          <w:highlight w:val="none"/>
          <w:lang w:eastAsia="zh-CN"/>
        </w:rPr>
        <w:t>、公安局</w:t>
      </w:r>
      <w:r>
        <w:rPr>
          <w:rFonts w:hint="eastAsia" w:ascii="宋体" w:hAnsi="宋体" w:eastAsia="仿宋_GB2312"/>
          <w:b w:val="0"/>
          <w:bCs w:val="0"/>
          <w:sz w:val="32"/>
          <w:szCs w:val="32"/>
          <w:highlight w:val="none"/>
        </w:rPr>
        <w:t>参与）</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cs="仿宋_GB2312"/>
          <w:b w:val="0"/>
          <w:bCs w:val="0"/>
          <w:sz w:val="32"/>
          <w:szCs w:val="32"/>
          <w:highlight w:val="none"/>
        </w:rPr>
        <w:t>41.加快生态环境大数据互联共享。</w:t>
      </w:r>
      <w:r>
        <w:rPr>
          <w:rFonts w:hint="eastAsia" w:ascii="宋体" w:hAnsi="宋体" w:eastAsia="仿宋_GB2312"/>
          <w:b w:val="0"/>
          <w:bCs w:val="0"/>
          <w:sz w:val="32"/>
          <w:szCs w:val="32"/>
          <w:highlight w:val="none"/>
        </w:rPr>
        <w:t>积极推进各类生态环境治理监管数据和视频信号与生态环境局共享，实现以数据为驱动的大气污染治理管理业务协同化，以数据支撑污染减排决策智慧化，提升大气污染治理的专业化、可视化、精细化管理水平。（</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生态环境局牵头，</w:t>
      </w:r>
      <w:r>
        <w:rPr>
          <w:rFonts w:ascii="宋体" w:hAnsi="宋体" w:eastAsia="仿宋_GB2312"/>
          <w:b w:val="0"/>
          <w:bCs w:val="0"/>
          <w:sz w:val="32"/>
          <w:szCs w:val="32"/>
          <w:highlight w:val="none"/>
        </w:rPr>
        <w:t>示范区</w:t>
      </w:r>
      <w:r>
        <w:rPr>
          <w:rFonts w:hint="eastAsia" w:ascii="宋体" w:hAnsi="宋体" w:eastAsia="仿宋_GB2312"/>
          <w:b w:val="0"/>
          <w:bCs w:val="0"/>
          <w:sz w:val="32"/>
          <w:szCs w:val="32"/>
          <w:highlight w:val="none"/>
        </w:rPr>
        <w:t>政务服务和大数据局、公安局、住房和城乡建设局、自然资源和规划局、水利局、农业农村局、交通运输局、市场监督管理局、</w:t>
      </w:r>
      <w:r>
        <w:rPr>
          <w:rFonts w:hint="eastAsia" w:ascii="宋体" w:hAnsi="宋体" w:eastAsia="仿宋_GB2312"/>
          <w:b w:val="0"/>
          <w:bCs w:val="0"/>
          <w:sz w:val="32"/>
          <w:szCs w:val="32"/>
          <w:highlight w:val="none"/>
          <w:lang w:eastAsia="zh-CN"/>
        </w:rPr>
        <w:t>市</w:t>
      </w:r>
      <w:r>
        <w:rPr>
          <w:rFonts w:hint="eastAsia" w:ascii="宋体" w:hAnsi="宋体" w:eastAsia="仿宋_GB2312"/>
          <w:b w:val="0"/>
          <w:bCs w:val="0"/>
          <w:sz w:val="32"/>
          <w:szCs w:val="32"/>
          <w:highlight w:val="none"/>
        </w:rPr>
        <w:t>气象局参与，济源供电公司配合）</w:t>
      </w:r>
    </w:p>
    <w:p>
      <w:pPr>
        <w:keepNext w:val="0"/>
        <w:keepLines w:val="0"/>
        <w:pageBreakBefore w:val="0"/>
        <w:widowControl w:val="0"/>
        <w:kinsoku/>
        <w:wordWrap/>
        <w:overflowPunct/>
        <w:topLinePunct w:val="0"/>
        <w:autoSpaceDE/>
        <w:autoSpaceDN/>
        <w:bidi w:val="0"/>
        <w:spacing w:line="590" w:lineRule="exact"/>
        <w:ind w:firstLine="640" w:firstLineChars="200"/>
        <w:rPr>
          <w:rFonts w:hint="eastAsia" w:ascii="宋体" w:hAnsi="宋体" w:eastAsia="仿宋_GB2312"/>
          <w:b w:val="0"/>
          <w:bCs w:val="0"/>
          <w:sz w:val="32"/>
          <w:szCs w:val="32"/>
          <w:highlight w:val="none"/>
        </w:rPr>
      </w:pPr>
    </w:p>
    <w:p>
      <w:pPr>
        <w:keepNext w:val="0"/>
        <w:keepLines w:val="0"/>
        <w:pageBreakBefore w:val="0"/>
        <w:widowControl w:val="0"/>
        <w:kinsoku/>
        <w:wordWrap/>
        <w:overflowPunct/>
        <w:topLinePunct w:val="0"/>
        <w:autoSpaceDE/>
        <w:autoSpaceDN/>
        <w:bidi w:val="0"/>
        <w:spacing w:line="590" w:lineRule="exact"/>
        <w:ind w:left="1598" w:leftChars="304" w:hanging="960" w:hangingChars="300"/>
        <w:rPr>
          <w:rFonts w:hint="eastAsia" w:ascii="宋体" w:hAnsi="宋体" w:eastAsia="仿宋_GB2312"/>
          <w:b w:val="0"/>
          <w:bCs w:val="0"/>
          <w:sz w:val="32"/>
          <w:szCs w:val="32"/>
          <w:highlight w:val="none"/>
        </w:rPr>
        <w:sectPr>
          <w:footerReference r:id="rId4" w:type="default"/>
          <w:pgSz w:w="11906" w:h="16838"/>
          <w:pgMar w:top="1871" w:right="1531" w:bottom="1701" w:left="1531" w:header="851" w:footer="1531" w:gutter="0"/>
          <w:pgNumType w:fmt="decimal"/>
          <w:cols w:space="0" w:num="1"/>
          <w:rtlGutter w:val="0"/>
          <w:docGrid w:type="lines" w:linePitch="315" w:charSpace="0"/>
        </w:sectPr>
      </w:pPr>
      <w:r>
        <w:rPr>
          <w:rFonts w:hint="eastAsia" w:ascii="宋体" w:hAnsi="宋体" w:eastAsia="仿宋_GB2312"/>
          <w:b w:val="0"/>
          <w:bCs w:val="0"/>
          <w:sz w:val="32"/>
          <w:szCs w:val="32"/>
          <w:highlight w:val="none"/>
        </w:rPr>
        <w:t>附件：济源产城融合示范区2021年大气污染防治工作任务分解台账</w:t>
      </w:r>
    </w:p>
    <w:p>
      <w:pPr>
        <w:keepNext w:val="0"/>
        <w:keepLines w:val="0"/>
        <w:pageBreakBefore w:val="0"/>
        <w:widowControl w:val="0"/>
        <w:kinsoku/>
        <w:wordWrap/>
        <w:overflowPunct/>
        <w:topLinePunct w:val="0"/>
        <w:autoSpaceDE/>
        <w:autoSpaceDN/>
        <w:bidi w:val="0"/>
        <w:spacing w:line="700" w:lineRule="exact"/>
        <w:jc w:val="left"/>
        <w:rPr>
          <w:rFonts w:ascii="宋体" w:hAnsi="宋体" w:eastAsia="黑体" w:cs="黑体"/>
          <w:sz w:val="32"/>
          <w:szCs w:val="32"/>
          <w:highlight w:val="none"/>
        </w:rPr>
      </w:pPr>
      <w:r>
        <w:rPr>
          <w:rFonts w:hint="eastAsia" w:ascii="宋体" w:hAnsi="宋体" w:eastAsia="黑体" w:cs="黑体"/>
          <w:sz w:val="32"/>
          <w:szCs w:val="32"/>
          <w:highlight w:val="none"/>
        </w:rPr>
        <w:t>附</w:t>
      </w:r>
      <w:r>
        <w:rPr>
          <w:rFonts w:hint="eastAsia" w:ascii="宋体" w:hAnsi="宋体" w:eastAsia="黑体" w:cs="黑体"/>
          <w:sz w:val="32"/>
          <w:szCs w:val="32"/>
          <w:highlight w:val="none"/>
          <w:lang w:val="en-US" w:eastAsia="zh-CN"/>
        </w:rPr>
        <w:t xml:space="preserve"> </w:t>
      </w:r>
      <w:r>
        <w:rPr>
          <w:rFonts w:hint="eastAsia" w:ascii="宋体" w:hAnsi="宋体" w:eastAsia="黑体" w:cs="黑体"/>
          <w:sz w:val="32"/>
          <w:szCs w:val="32"/>
          <w:highlight w:val="none"/>
        </w:rPr>
        <w:t>件</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济源产城融合示范区</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2021年大气污染防治工作任务分解台账</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方正小标宋简体" w:cs="方正小标宋简体"/>
          <w:bCs/>
          <w:kern w:val="4"/>
          <w:sz w:val="44"/>
          <w:szCs w:val="44"/>
          <w:highlight w:val="none"/>
        </w:rPr>
      </w:pPr>
    </w:p>
    <w:tbl>
      <w:tblPr>
        <w:tblStyle w:val="15"/>
        <w:tblW w:w="14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328"/>
        <w:gridCol w:w="1082"/>
        <w:gridCol w:w="6162"/>
        <w:gridCol w:w="2250"/>
        <w:gridCol w:w="2667"/>
        <w:gridCol w:w="1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7" w:hRule="atLeast"/>
          <w:tblHeader/>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序号</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  作  任  务</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文件内容</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负责单位</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配合单位</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工作或时限要求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57"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持续优化产业布局</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12月底前，完成金马能源180万吨焦化项目建设，并同步推进豫港焦化5.5米捣固焦炉的有序关停，同时对金马能源5.5米焦炉中</w:t>
            </w:r>
            <w:r>
              <w:rPr>
                <w:rFonts w:hint="eastAsia" w:ascii="宋体" w:hAnsi="宋体" w:cs="宋体"/>
                <w:bCs/>
                <w:szCs w:val="21"/>
                <w:highlight w:val="none"/>
                <w:lang w:eastAsia="zh-CN"/>
              </w:rPr>
              <w:t>的</w:t>
            </w:r>
            <w:r>
              <w:rPr>
                <w:rFonts w:hint="eastAsia" w:ascii="宋体" w:hAnsi="宋体" w:cs="宋体"/>
                <w:bCs/>
                <w:szCs w:val="21"/>
                <w:highlight w:val="none"/>
              </w:rPr>
              <w:t>30孔进行封堵；</w:t>
            </w:r>
            <w:r>
              <w:rPr>
                <w:rFonts w:hint="eastAsia" w:ascii="宋体" w:hAnsi="宋体" w:cs="宋体"/>
                <w:bCs/>
                <w:szCs w:val="21"/>
                <w:highlight w:val="none"/>
                <w:lang w:eastAsia="zh-CN"/>
              </w:rPr>
              <w:t>工业供汽</w:t>
            </w:r>
            <w:r>
              <w:rPr>
                <w:rFonts w:hint="eastAsia" w:ascii="宋体" w:hAnsi="宋体" w:cs="宋体"/>
                <w:bCs/>
                <w:szCs w:val="21"/>
                <w:highlight w:val="none"/>
              </w:rPr>
              <w:t>替代工程取得实质性进展，为国能济源热电关闭退出工作奠定基础。对城区内重污染企业进一步梳理，推动不符合城市建设规划、行业发展规划、生态环境功能定位的重点污染企业退出城市建成区。</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工业和科技创新委员会、发展改革和统计局、住房和城乡建设局按照职责分工负责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生态环境局、自然资源和规划局、应急管理局、财政金融局、相关片区管理办公室、镇人民政府、街道办事处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11"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严格环境准入</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全面禁止建设列入国家、省产业政策或产业规划中的限制、淘汰类项目；根据资源环境承载能力情况，原则上不再新建、扩建单纯新增产能的钢铁、有色、水泥、玻璃、化工、火电、铸造等高能耗、高排放和产能过剩项目（钢铁、有色等传统领域的产业链延伸以及涉及绿色、智能、技术创新“三大改造”类项目除外）；耐火材料、陶瓷、石料加工、砖瓦制品等项目，安全和职业卫生危害风险大、污染严重的化工项目，涉及煤炭消费较大的项目，新建、扩建综合能源消费量超1万吨标准煤以上、水资源消费量超3万立方米以上和VOC、氮氧化物等主要污染物排放量较大的项目需通过资源环境承载能力评价后，方可办理相关前期手续。将国家和省重点行业绩效分级A级或绩效引领企业评定</w:t>
            </w:r>
            <w:r>
              <w:rPr>
                <w:rFonts w:hint="eastAsia" w:ascii="宋体" w:hAnsi="宋体" w:cs="宋体"/>
                <w:bCs/>
                <w:szCs w:val="21"/>
                <w:highlight w:val="none"/>
                <w:lang w:eastAsia="zh-CN"/>
              </w:rPr>
              <w:t>标准、河南省通用行业绩效评定标准</w:t>
            </w:r>
            <w:r>
              <w:rPr>
                <w:rFonts w:hint="eastAsia" w:ascii="宋体" w:hAnsi="宋体" w:cs="宋体"/>
                <w:bCs/>
                <w:szCs w:val="21"/>
                <w:highlight w:val="none"/>
              </w:rPr>
              <w:t>纳入建设项目环境影响评价“三同时”管理，依法强化源头控制，全面提升行业高质量发展。</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工业和科技创新委员会、自然资源和规划局、各片区管理办公室、镇人民政府、街道办事处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63"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3</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加快落后产能淘汰和过剩产能压减</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szCs w:val="21"/>
                <w:highlight w:val="none"/>
              </w:rPr>
              <w:t>按照《河南省淘汰落后产能综合标准体系（2020年本）》，严格执行能耗、环保、质量、安全、技术等法规标准。制定工作方案，严格按照全省统一部署，对国家和我省明确的落后生产工艺装备和落后产品开展全面排查摸底，实施落后产能清零行动，巩固落后产能淘汰工作成效。</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工业和科技创新委员会、发展改革和统计局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10月底前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857"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4</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推动工业绿色发展</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实施工业低碳行动，推进钢铁、煤化工、水泥、铝加工、玻璃、耐火材料制品、煤电等产业绿色、减量、提质发展，开展全流程清洁化、循环化、低碳化改造，加快建设绿色制造体系。鼓励支持钢铁、水泥、玻璃等重点行业通过产能置换、装备大型化改造、重组整合，推进项目优化布局。鼓励玻璃熔窑采用富氧或纯氧燃烧方式。鼓励高炉-转炉长流程钢铁企业转型为电炉短流程企业。实施钢铁行业清洁生产技术改造，进一步提高烧结机烟气循环比例，减少一氧化碳等污染物排放；改造完善高炉均压煤气回收系统、高炉休风煤气放散回收系统、轧钢双蓄热式加热炉吹扫煤气回收系统，进一步提升钢铁行业清洁化生产水平。根据省钢铁、水泥、耐火材料、砖瓦窑等重点行业限制类产能装备升级改造工作方案，推进示范区限制类产能装备的升级改造。</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工业和科技创新委员会、发展改革和统计局、生态环境局按照职责分工负责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市场监督管理局、应急管理局、各片区管理办公室、镇人民政府、街道办事处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65"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5</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推进传统产业集群升级改造</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加强铸造产业清单管理和产能置换，采取堵疏结合、产能置换、关停并转等措施，进一步提升行业清洁生产水平和产业集中度。推动“区中园”建设的建材、食品加工、耐材、化工等专业园区提升改造，制定“一园一策”“一行一策”综合整治方案，督促企业提升改造，引导项目入园建设、规模发展。</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发展改革和统计局、工业和科技创新委员会按照职责分工负责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r>
              <w:rPr>
                <w:rFonts w:hint="eastAsia" w:ascii="宋体" w:hAnsi="宋体" w:cs="宋体"/>
                <w:szCs w:val="21"/>
                <w:highlight w:val="none"/>
                <w:lang w:val="en" w:eastAsia="en"/>
              </w:rPr>
              <w:t>,</w:t>
            </w:r>
            <w:r>
              <w:rPr>
                <w:rFonts w:hint="eastAsia" w:ascii="宋体" w:hAnsi="宋体" w:cs="宋体"/>
                <w:szCs w:val="21"/>
                <w:highlight w:val="none"/>
              </w:rPr>
              <w:t>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223"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6</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持续排查整治“散乱污”企业</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强化“一长三员”体制建设，发挥网格化环境监管全覆盖、无盲区的作用，探索建立“散乱污”动态清零量化问责机制，对“十五小”类“散乱污”隐瞒不报或造成严重污染后果的，从重、从快落实 “一案双查”，严禁以拆代管、以拆代罚，坚决杜绝“散乱污”企业滋生、异地转移和死灰复燃。</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生态环境局、工业和科技创新委员会</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市场监督管理局、水利局、济源供电公司</w:t>
            </w:r>
            <w:r>
              <w:rPr>
                <w:rFonts w:hint="eastAsia" w:ascii="宋体" w:hAnsi="宋体" w:cs="宋体"/>
                <w:szCs w:val="21"/>
                <w:highlight w:val="none"/>
                <w:lang w:eastAsia="zh-CN"/>
              </w:rPr>
              <w:t>、</w:t>
            </w:r>
            <w:r>
              <w:rPr>
                <w:rFonts w:hint="eastAsia" w:ascii="宋体" w:hAnsi="宋体" w:cs="宋体"/>
                <w:szCs w:val="21"/>
                <w:highlight w:val="none"/>
              </w:rPr>
              <w:t>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98"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7</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严控煤炭消费总量</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严格落实能源消耗总量和强度“双控”，推行用能预算管理和区域能评制度，将用能权市场扩大至年综合能耗5000吨标准煤以上的重点用能企业。对于现有钢铁、火电、焦化、化工、水泥、陶瓷、砖瓦窑等以煤为燃料的行业，严格控制煤炭消费量，将煤耗指标细化分解到每一家企业，实施月调度、季考核，对超量耗煤企业实行停产整治。实施煤炭消费替代管理，所有新建、改建、扩建耗煤项目按照《济源市耗煤项目煤炭消费替代管理暂行办法》（济发改环资〔2018〕138号）实施煤炭减量或等量替代，着力压减高耗能、高排放、过剩落后产能煤炭消费总量，完成省政府下达的预期目标。</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工业和科技创新委员会、生态环境局、各片区管理办公室、镇人民政府、街道办事处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97"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8</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巩固清洁取暖成果</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制定清洁取暖“双替代”巩固提升行动方案，全面完成全域“双替代”目标任务。调整“禁煤区”范围并及时向社会公布，依法查处违规销售、储存、运输、使用洁净型煤和散煤的行为。加强气源和电力供应保障，继续实施清洁取暖优惠政策，确保人民群众温暖过冬、安全过冬、清洁过冬。</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发展改革和统计局、市场监督管理局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财政金融局、交通运输局、生态环境局、济源供电公司、各片区管理办公室、镇人民政府、街道办事处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采暖季前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63"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9</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提高建成区集中供暖普及率</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统筹规划城市工业热源供应，“一张网”运行城市民用供热。加快实施城镇集中供热老旧管网改造，完善济东新区集中供热管网建设，2021年采暖季前，新建、改造集中供热管网11公里，新建、改造热力站11座，新增供暖面积25万平方米，城市建成区集中供暖普及率力争达到9</w:t>
            </w:r>
            <w:r>
              <w:rPr>
                <w:rFonts w:hint="eastAsia" w:ascii="宋体" w:hAnsi="宋体" w:cs="宋体"/>
                <w:bCs/>
                <w:szCs w:val="21"/>
                <w:highlight w:val="none"/>
                <w:lang w:val="en-US" w:eastAsia="zh-CN"/>
              </w:rPr>
              <w:t>1</w:t>
            </w:r>
            <w:r>
              <w:rPr>
                <w:rFonts w:hint="eastAsia" w:ascii="宋体" w:hAnsi="宋体" w:cs="宋体"/>
                <w:bCs/>
                <w:szCs w:val="21"/>
                <w:highlight w:val="none"/>
              </w:rPr>
              <w:t>%以上。对供热管网无法覆盖的区域，支持采取地热供暖。</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住房和城乡建设局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采暖季前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491"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10</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加强天然气和电力供应保障</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加强天然气产供储销体系建设，提高天然气供应保障能力。通过多方协调气源，辅助调峰储配气设施，落实“地方政府3天、城燃企业5%”的储气能力目标任务。健全完善调峰机制，采暖季期间，天然气供应要突出“压非保民”，确保民生用气需求。</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财政金融局、自然资源和规划局、济源供电公司、各片区管理办公室、镇人民政府、街道办事处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采暖季前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29"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11</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加快优化能源供给结构</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坚持把传统能源转型升级和大力发展新能源相统筹，优化能源供给结构，加快发展风电、光伏发电等可再生能源。可再生能源发电装机占总装机比重、新增可再生能源发电装机容量、新增可再生能源供暖比例达到省定目标要求。</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发展改革和统计局、自然资源和规划局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财政金融局、济源供电公司、相关片区管理办公室、镇人民政府、街道办事处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59"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12</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优化调整货物运输结构</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创建城市绿色货运配送示范工程，建设“集约、高效、绿色、智能”的城市货运配送体系，重点推进河南沁河北物流枢纽园有限公司铁路专用线、金利铁路专用线、豫光股份技改工程铁路专用线等项目建设，到2021年底，力争大宗货物中长距离绿色运输方式比例达到75%以上。采取推进铁路专线进企入园、柴油货车新能源替代、中短途运输皮带输送等方式，打通铁路货运站到终端企业“最后一公里”。持续优化路网结构布局，加快绕城货运公路建设，减少重型货运车辆对市区环境空气</w:t>
            </w:r>
            <w:r>
              <w:rPr>
                <w:rFonts w:hint="eastAsia" w:ascii="宋体" w:hAnsi="宋体" w:cs="宋体"/>
                <w:bCs/>
                <w:szCs w:val="21"/>
                <w:highlight w:val="none"/>
                <w:lang w:eastAsia="zh-CN"/>
              </w:rPr>
              <w:t>质量</w:t>
            </w:r>
            <w:r>
              <w:rPr>
                <w:rFonts w:hint="eastAsia" w:ascii="宋体" w:hAnsi="宋体" w:cs="宋体"/>
                <w:bCs/>
                <w:szCs w:val="21"/>
                <w:highlight w:val="none"/>
              </w:rPr>
              <w:t>的影响。</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交通运输局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发展改革和统计局、住房和城乡建设局、自然资源和规划局、公安局</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06" w:hRule="atLeast"/>
          <w:jc w:val="center"/>
        </w:trPr>
        <w:tc>
          <w:tcPr>
            <w:tcW w:w="328"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13</w:t>
            </w:r>
          </w:p>
        </w:tc>
        <w:tc>
          <w:tcPr>
            <w:tcW w:w="1082"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严格移动源源头管控</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把移动源数量、规格（规模）、尾气排放和能源使用情况纳入新改扩建工业和矿山开采项目立项（核准）备案、施工许可、环境影响审批、环保“三同时”自主验收范围，使用皮带输送等方式替代移动源运输，用电力替代汽柴油能源，“以新带老”对不达标机械进行淘汰和深度治理。依据《河南省实施国家第六阶段机动车排放标准的公告》，严格实施重型柴油车国六排放标准，自2021年7月1日起，进口、销售和注册登记的重型柴油车应符合《重型柴油车污染物排放限值及测量方法（中国第六阶段）》（GB17691-2018）阶段标准要求。生态环境部门监督排放检验机构规范开展注册登记环节随车清单核验。严格销售环节非道路移动机械信息登记要求。强化新生产车（机）达标排放监管，组织开展销售环节机动车、非道路移动机械监督检查，系族年度抽检率达到80%以上。</w:t>
            </w:r>
          </w:p>
        </w:tc>
        <w:tc>
          <w:tcPr>
            <w:tcW w:w="225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公安局、工业和科技创新委员会、市场监督管理局发展改革和统计局、济源海关</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81" w:hRule="atLeast"/>
          <w:jc w:val="center"/>
        </w:trPr>
        <w:tc>
          <w:tcPr>
            <w:tcW w:w="328"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14</w:t>
            </w:r>
          </w:p>
        </w:tc>
        <w:tc>
          <w:tcPr>
            <w:tcW w:w="1082"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强化在用车排放监管</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lang w:eastAsia="zh-CN"/>
              </w:rPr>
              <w:t>通过查测协同、绩效考核，高标准开展路检路查和入户检测。全面实施柴油货车OBD监控项目、门禁系统建设项目，与城市电子通行证系统相融合。将国三及以下重型柴油货车、生态环境部门监督抽测发现的超标车辆纳入入市通行管理系统，禁止在城市建成区范围内行驶。优化布局遥感监测和黑烟抓拍设施，强化相关部门执法衔接，确保超标违法车辆查处到位、治理到位、管控到位。</w:t>
            </w:r>
          </w:p>
        </w:tc>
        <w:tc>
          <w:tcPr>
            <w:tcW w:w="225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生态环境局、交通运输局、公安局</w:t>
            </w:r>
            <w:r>
              <w:rPr>
                <w:rFonts w:hint="eastAsia" w:ascii="宋体" w:hAnsi="宋体" w:cs="宋体"/>
                <w:szCs w:val="21"/>
                <w:highlight w:val="none"/>
              </w:rPr>
              <w:t>按照职责分工负责</w:t>
            </w:r>
          </w:p>
        </w:tc>
        <w:tc>
          <w:tcPr>
            <w:tcW w:w="266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63" w:hRule="atLeast"/>
          <w:jc w:val="center"/>
        </w:trPr>
        <w:tc>
          <w:tcPr>
            <w:tcW w:w="328"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1082"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推进I/M体系建设。强化车检机构检测（I站）与维修治理（M站）信息共享，实现机动车排放检验、超标车辆维修治理的闭环管理，高效推进机动车尾气污染深度治理。对车检机构检测试行预约制度，强化检测过程人工审核和已检车辆抽检，倒查异常车辆检测检验过程，对违规或者平台频繁预警的车检机构，取消预约资格。招募机动车尾气深度治理优秀供应商，落实OBD监控建设和数据联网，推行产品质量责任险。开展维修单位联合执法行动，督促维修单位按照规范要求进行维修，高质量记录、上报维修信息。</w:t>
            </w:r>
          </w:p>
        </w:tc>
        <w:tc>
          <w:tcPr>
            <w:tcW w:w="225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生态环境局、市场监督管理局、交通运输局</w:t>
            </w:r>
            <w:r>
              <w:rPr>
                <w:rFonts w:hint="eastAsia" w:ascii="宋体" w:hAnsi="宋体" w:cs="宋体"/>
                <w:szCs w:val="21"/>
                <w:highlight w:val="none"/>
              </w:rPr>
              <w:t>按照职责分工负责</w:t>
            </w:r>
          </w:p>
        </w:tc>
        <w:tc>
          <w:tcPr>
            <w:tcW w:w="266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公安局</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77" w:hRule="atLeast"/>
          <w:jc w:val="center"/>
        </w:trPr>
        <w:tc>
          <w:tcPr>
            <w:tcW w:w="328"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1082"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加强排放检测检验机构管理，督促车检机构对检测线进行升级改造，规范开展氮氧化物检测及OBD远程在线监控装置检查，严厉打击车检机构伪造检验结果、出具虚假报告等违法行为。情节严重的，提请取消检验资格；构成犯罪的，依法追究刑事责任。</w:t>
            </w:r>
          </w:p>
        </w:tc>
        <w:tc>
          <w:tcPr>
            <w:tcW w:w="225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生态环境局、市场监督管理局</w:t>
            </w:r>
            <w:r>
              <w:rPr>
                <w:rFonts w:hint="eastAsia" w:ascii="宋体" w:hAnsi="宋体" w:cs="宋体"/>
                <w:szCs w:val="21"/>
                <w:highlight w:val="none"/>
              </w:rPr>
              <w:t>按照职责分工负责</w:t>
            </w:r>
          </w:p>
        </w:tc>
        <w:tc>
          <w:tcPr>
            <w:tcW w:w="266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公安局</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221" w:hRule="atLeast"/>
          <w:jc w:val="center"/>
        </w:trPr>
        <w:tc>
          <w:tcPr>
            <w:tcW w:w="328"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15</w:t>
            </w:r>
          </w:p>
        </w:tc>
        <w:tc>
          <w:tcPr>
            <w:tcW w:w="1082"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推广使用新能源汽车</w:t>
            </w:r>
          </w:p>
        </w:tc>
        <w:tc>
          <w:tcPr>
            <w:tcW w:w="6162"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推动示范区公共领域车辆新能源化</w:t>
            </w:r>
            <w:r>
              <w:rPr>
                <w:rFonts w:hint="eastAsia" w:ascii="宋体" w:hAnsi="宋体" w:cs="宋体"/>
                <w:bCs/>
                <w:szCs w:val="21"/>
                <w:highlight w:val="none"/>
                <w:lang w:eastAsia="zh-CN"/>
              </w:rPr>
              <w:t>，</w:t>
            </w:r>
            <w:r>
              <w:rPr>
                <w:rFonts w:hint="eastAsia" w:ascii="宋体" w:hAnsi="宋体" w:cs="宋体"/>
                <w:bCs/>
                <w:szCs w:val="21"/>
                <w:highlight w:val="none"/>
              </w:rPr>
              <w:t>除保留部分应急车辆及新能源汽车无法满足使用需求情况外，新增及更新公交车、出租车（含巡游出租车和网约车）应全部为新能源汽车。新增及更新环卫车辆应全部使用新能源汽车，新增及更新城市邮政快递、城市物流配送车辆中，新能源汽车比例不低于95%。新增、更新公务车辆原则上全部为新能源汽车。加快推进港口码头岸电设施建设，在物流园、产业园、工业园、大型商业购物中心、农贸批发市场等物流集散地和公交市政等车辆集中停放地建设集中式充电桩和快速充电桩。</w:t>
            </w:r>
          </w:p>
        </w:tc>
        <w:tc>
          <w:tcPr>
            <w:tcW w:w="2250"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w:t>
            </w:r>
          </w:p>
        </w:tc>
        <w:tc>
          <w:tcPr>
            <w:tcW w:w="266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住房和城乡建设局、工业和科技创新委员会、交通运输局、</w:t>
            </w:r>
            <w:r>
              <w:rPr>
                <w:rFonts w:hint="eastAsia" w:ascii="宋体" w:hAnsi="宋体" w:cs="宋体"/>
                <w:bCs/>
                <w:szCs w:val="21"/>
                <w:highlight w:val="none"/>
                <w:lang w:eastAsia="zh-CN"/>
              </w:rPr>
              <w:t>市</w:t>
            </w:r>
            <w:r>
              <w:rPr>
                <w:rFonts w:hint="eastAsia" w:ascii="宋体" w:hAnsi="宋体" w:cs="宋体"/>
                <w:bCs/>
                <w:szCs w:val="21"/>
                <w:highlight w:val="none"/>
              </w:rPr>
              <w:t>机关事务管理局、济源供电公司</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40" w:hRule="atLeast"/>
          <w:jc w:val="center"/>
        </w:trPr>
        <w:tc>
          <w:tcPr>
            <w:tcW w:w="328"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16</w:t>
            </w:r>
          </w:p>
        </w:tc>
        <w:tc>
          <w:tcPr>
            <w:tcW w:w="1082"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加强非道路移动</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机械管理</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建立健全非道路移动机械信息采集责任体系，纳入年度生态环境保护目标考核，按照全省统一部署按期完成信息采集、编码登记、定位系统安装和号牌核发。开展非道路移动机械专项行动</w:t>
            </w:r>
            <w:r>
              <w:rPr>
                <w:rFonts w:hint="eastAsia" w:ascii="宋体" w:hAnsi="宋体" w:cs="宋体"/>
                <w:bCs/>
                <w:szCs w:val="21"/>
                <w:highlight w:val="none"/>
                <w:lang w:eastAsia="zh-CN"/>
              </w:rPr>
              <w:t>，</w:t>
            </w:r>
            <w:r>
              <w:rPr>
                <w:rFonts w:hint="eastAsia" w:ascii="宋体" w:hAnsi="宋体" w:cs="宋体"/>
                <w:bCs/>
                <w:szCs w:val="21"/>
                <w:highlight w:val="none"/>
              </w:rPr>
              <w:t>加强非道路移动机械尾气排放检测工作，实行非道路移动机械所有人预约检测、号牌挂设检测和执法检查检测，对预约检测和号牌挂设检测为不合格的非道路移动机械，责成其进行污染治理，对执法检查发现使用不合格非道路移动机械的依法处罚。对在高排放非道路移动机械禁用区使用不合格非道路移动机械的依法重罚，破解劣币驱逐良币，依法推进非道路移动机械深度治理。</w:t>
            </w:r>
          </w:p>
        </w:tc>
        <w:tc>
          <w:tcPr>
            <w:tcW w:w="225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住房和城乡建设局、水利局、自然资源和规划局、交通运输局、各片区管理办公室、镇人民政府、街道办事处</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23" w:hRule="atLeast"/>
          <w:jc w:val="center"/>
        </w:trPr>
        <w:tc>
          <w:tcPr>
            <w:tcW w:w="328"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17</w:t>
            </w:r>
          </w:p>
        </w:tc>
        <w:tc>
          <w:tcPr>
            <w:tcW w:w="1082"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深入开展国土绿化行动</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以“五年绿满山川平原、十年彩染森林济源”为总体目标，坚持把增绿增质增效作为主攻方向，高质量推进沿黄生态廊道建设，持续推进山区森林化、平原林网化、城市园林化、乡村林果化、廊道林荫化和庭院花园化，大力挖掘增绿潜力，实施精准造林。2021年底，示范区城市建成区绿地率达到36.5%以上，完成造林6.45万亩、森林抚育2.8万亩、生态廊道5000亩。</w:t>
            </w:r>
          </w:p>
        </w:tc>
        <w:tc>
          <w:tcPr>
            <w:tcW w:w="225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林业局</w:t>
            </w:r>
          </w:p>
        </w:tc>
        <w:tc>
          <w:tcPr>
            <w:tcW w:w="266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w:t>
            </w:r>
            <w:r>
              <w:rPr>
                <w:rFonts w:hint="eastAsia" w:ascii="宋体" w:hAnsi="宋体" w:cs="宋体"/>
                <w:szCs w:val="21"/>
                <w:highlight w:val="none"/>
              </w:rPr>
              <w:t>、</w:t>
            </w:r>
            <w:r>
              <w:rPr>
                <w:rFonts w:hint="eastAsia" w:ascii="宋体" w:hAnsi="宋体" w:cs="宋体"/>
                <w:bCs/>
                <w:szCs w:val="21"/>
                <w:highlight w:val="none"/>
              </w:rPr>
              <w:t>住房和城乡建设局、相关片区管理办公室、镇人民政府、街道办事处</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64"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18</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加强扬尘综合治理</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对省控尘办下达的可吸入颗粒物（</w:t>
            </w:r>
            <w:r>
              <w:rPr>
                <w:rFonts w:hint="eastAsia" w:ascii="宋体" w:hAnsi="宋体" w:eastAsia="仿宋_GB2312"/>
                <w:bCs/>
                <w:szCs w:val="21"/>
                <w:highlight w:val="none"/>
              </w:rPr>
              <w:t>PM</w:t>
            </w:r>
            <w:r>
              <w:rPr>
                <w:rFonts w:hint="eastAsia" w:ascii="宋体" w:hAnsi="宋体" w:eastAsia="仿宋_GB2312"/>
                <w:bCs/>
                <w:szCs w:val="21"/>
                <w:highlight w:val="none"/>
                <w:vertAlign w:val="subscript"/>
              </w:rPr>
              <w:t>10</w:t>
            </w:r>
            <w:r>
              <w:rPr>
                <w:rFonts w:hint="eastAsia" w:ascii="宋体" w:hAnsi="宋体" w:cs="宋体"/>
                <w:bCs/>
                <w:szCs w:val="21"/>
                <w:highlight w:val="none"/>
              </w:rPr>
              <w:t>）年度目标值及月度目标值进行目标分解，健全完善扬尘污染防治考核管理责任体系，对连续两个月降尘量排名倒数或扬尘问题突出的片区、镇、街道进行约谈。住房和城乡建设、交通运输、自然资源、水利等部门将落实《城市房屋建筑和市政基础设施工程及道路扬尘污染防治标准》要求、“六个百分之百”扬尘污染防治措施、“两个禁止”（禁止现场搅拌混凝土和现场配置砂浆）、渣土物料运输车辆纳入日常安全文明施工监督范围，建立举报监督、明查暗访工作机制，将工程建设活动中未按规定采取控制措施、减少扬尘污染受到通报、约谈或行政处罚的列为不良行为。做好重污染天气预警、大风天气条件下施工工地、道路扬尘管控，保证控制效果。不断扩大道路机械化清扫和洒水范围，强化道路清洗保洁频次，综合使用信息化等手段，开展城市清洁行动，提升城市清洁质量。2021年，各镇、街道平均降尘量不得高于8吨/月·平方公里。持续推进城市建成区餐饮油烟治理，2021年底前，大型餐饮服务单位全部实现在线监控，数据接入市级监控平台。</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住房和城乡建设局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创建办、交通运输局、自然资源和规划局、水利局、生态环境局、发展改革和统计局、各片区管理办公室、镇人民政府、街道办事处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50" w:hRule="atLeast"/>
          <w:jc w:val="center"/>
        </w:trPr>
        <w:tc>
          <w:tcPr>
            <w:tcW w:w="328"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19</w:t>
            </w:r>
          </w:p>
        </w:tc>
        <w:tc>
          <w:tcPr>
            <w:tcW w:w="1082"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积极推进绿色矿山综合整治行动</w:t>
            </w:r>
          </w:p>
        </w:tc>
        <w:tc>
          <w:tcPr>
            <w:tcW w:w="6162"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积极推进绿色矿山创建，落实绿色矿山激励政策，绿色矿山在重污染天气及</w:t>
            </w:r>
            <w:r>
              <w:rPr>
                <w:rFonts w:hint="eastAsia" w:ascii="宋体" w:hAnsi="宋体" w:cs="宋体"/>
                <w:bCs/>
                <w:szCs w:val="21"/>
                <w:highlight w:val="none"/>
                <w:lang w:eastAsia="zh-CN"/>
              </w:rPr>
              <w:t>生态环境保护</w:t>
            </w:r>
            <w:r>
              <w:rPr>
                <w:rFonts w:hint="eastAsia" w:ascii="宋体" w:hAnsi="宋体" w:cs="宋体"/>
                <w:bCs/>
                <w:szCs w:val="21"/>
                <w:highlight w:val="none"/>
              </w:rPr>
              <w:t>督导检查、重大活动期间，在加强监管的前提下允许正常生产。对列入绿色矿山建设名录的砂石矿山、具有合法手续且符合</w:t>
            </w:r>
            <w:r>
              <w:rPr>
                <w:rFonts w:hint="eastAsia" w:ascii="宋体" w:hAnsi="宋体" w:cs="宋体"/>
                <w:bCs/>
                <w:szCs w:val="21"/>
                <w:highlight w:val="none"/>
                <w:lang w:eastAsia="zh-CN"/>
              </w:rPr>
              <w:t>生态环境保护</w:t>
            </w:r>
            <w:r>
              <w:rPr>
                <w:rFonts w:hint="eastAsia" w:ascii="宋体" w:hAnsi="宋体" w:cs="宋体"/>
                <w:bCs/>
                <w:szCs w:val="21"/>
                <w:highlight w:val="none"/>
              </w:rPr>
              <w:t>要求的企业和项目，不采取强制性停限产措施。制定整治方案，推动行业整合升级，从源头控制矿山污染。推动矿石采选和砂石骨料企业全面开展装备升级及深度治理，针对原料运输、贮存、装卸、破碎、转运、筛分、出料等各个生产环节存在的无组织排放污染问题，进行全流程控制、收集、净化处理，并同步安装视频监控和相应的污染物排放监测设备，优化运输方式，减少污染物排放。</w:t>
            </w:r>
          </w:p>
        </w:tc>
        <w:tc>
          <w:tcPr>
            <w:tcW w:w="2250"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工业和科技创新委员会、生态环境局、交通运输局按照职责分工负责，相关片区管理办公室、镇人民政府</w:t>
            </w:r>
          </w:p>
        </w:tc>
        <w:tc>
          <w:tcPr>
            <w:tcW w:w="1570"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28" w:hRule="atLeast"/>
          <w:jc w:val="center"/>
        </w:trPr>
        <w:tc>
          <w:tcPr>
            <w:tcW w:w="328" w:type="dxa"/>
            <w:vMerge w:val="restart"/>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20</w:t>
            </w:r>
          </w:p>
        </w:tc>
        <w:tc>
          <w:tcPr>
            <w:tcW w:w="1082" w:type="dxa"/>
            <w:vMerge w:val="restart"/>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开展农业污染治理</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落实属地政府秸秆禁烧主体责任，建立完善“政府负责、部门联动、网格管理”的三级责任体系，综合运用无人机和卫星遥感、蓝天卫士监控等手段，加强秸秆焚烧监管，依法治理，严肃执纪。</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农业农村局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持续推进。重点抓好夏秋两季秸秆禁烧工作。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52" w:hRule="atLeast"/>
          <w:jc w:val="center"/>
        </w:trPr>
        <w:tc>
          <w:tcPr>
            <w:tcW w:w="328" w:type="dxa"/>
            <w:vMerge w:val="continue"/>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1082" w:type="dxa"/>
            <w:vMerge w:val="continue"/>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加快推进烟叶烤房电代煤和食用菌企业双改工作。推进烟叶烤房电代煤工作，年度完成燃煤烤房电代煤改造30座。</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lang w:eastAsia="zh-CN"/>
              </w:rPr>
              <w:t>市</w:t>
            </w:r>
            <w:r>
              <w:rPr>
                <w:rFonts w:hint="eastAsia" w:ascii="宋体" w:hAnsi="宋体" w:cs="宋体"/>
                <w:bCs/>
                <w:szCs w:val="21"/>
                <w:highlight w:val="none"/>
              </w:rPr>
              <w:t>烟草公司</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7月底前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39"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21</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严格烟花爆竹禁放管理</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持续加强烟花爆竹禁燃禁放监督管理，继续施行全域禁燃禁放政策。开展烟花爆竹“打非”专项行动，推动宣传教育、销售清零、巡回检查、技防监控、严格执法等各项禁售禁放措施落实。抓紧抓实重点人员、重点部位、重点时段、重点事项</w:t>
            </w:r>
            <w:r>
              <w:rPr>
                <w:rFonts w:hint="eastAsia" w:ascii="宋体" w:hAnsi="宋体" w:cs="宋体"/>
                <w:bCs/>
                <w:szCs w:val="21"/>
                <w:highlight w:val="none"/>
                <w:lang w:eastAsia="zh-CN"/>
              </w:rPr>
              <w:t>管理</w:t>
            </w:r>
            <w:r>
              <w:rPr>
                <w:rFonts w:hint="eastAsia" w:ascii="宋体" w:hAnsi="宋体" w:cs="宋体"/>
                <w:bCs/>
                <w:szCs w:val="21"/>
                <w:highlight w:val="none"/>
              </w:rPr>
              <w:t>，严厉查处非法生产、销售、运输、储存、燃放烟花爆竹等行为，严格落实禁燃禁放要求。</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应急管理局、公安局、</w:t>
            </w:r>
            <w:r>
              <w:rPr>
                <w:rFonts w:hint="eastAsia" w:ascii="宋体" w:hAnsi="宋体" w:cs="宋体"/>
                <w:bCs/>
                <w:szCs w:val="21"/>
                <w:highlight w:val="none"/>
                <w:lang w:eastAsia="zh-CN"/>
              </w:rPr>
              <w:t>市</w:t>
            </w:r>
            <w:r>
              <w:rPr>
                <w:rFonts w:hint="eastAsia" w:ascii="宋体" w:hAnsi="宋体" w:cs="宋体"/>
                <w:bCs/>
                <w:szCs w:val="21"/>
                <w:highlight w:val="none"/>
              </w:rPr>
              <w:t>供销合作社</w:t>
            </w:r>
            <w:r>
              <w:rPr>
                <w:rFonts w:hint="eastAsia" w:ascii="宋体" w:hAnsi="宋体" w:cs="宋体"/>
                <w:szCs w:val="21"/>
                <w:highlight w:val="none"/>
              </w:rPr>
              <w:t>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持续推进。重点抓好春节、清明节等重点时段。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69"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22</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推进重点行业绩效分级</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落实重污染天气应急减排清单动态更新机制，全力推进企业治理能力治理水平整体升级，推动企业“梯度达标”，确保同一行业内，同等绩效水平企业减排措施相一致。2021年底前，重点行业绩效分级A、B级企业力争不低于20%，基本消除D级企业。落实A、B级企业相关鼓励政策，严格执行C、D级企业污染管控措施。</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发展改革和统计局、工业和科技创新委员会、住房和城乡建设局、交通运输局，各片区管理办公室、镇人民政府、街道办事处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9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23</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开展工业企业全面达标行动</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严格执行国家和省大气污染物排放标准，持续推进电力、钢铁、水泥、铝工业、焦化、碳素、陶瓷、砖瓦窑、铸造、铁合金、耐材、玻璃、有色金属冶炼及压延、包装印刷、工业涂装及工业炉窑等企业废气污染物全面达标排放，将烟气自动监控数据作为执法依据，加大超标处罚和联合惩戒力度。按照全省统一部署开展重点行业企业废气污染物达标排放执法检查，对不能稳定达标排放、不满足无组织控制要求的企业，依法实施停产治理。</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9月底前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6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24</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强化重点行业超低排放改造</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巩固钢铁、水泥行业超低排放改造成效，完成济源钢铁、中联水泥和3家水泥粉磨站企业超低排放评估监测，未按期完成或评估监测不达标的企业按要求实施差别化电价、水价政策。按照全省统一部署，将超低排放差别化电价、水价政策向重点行业推广</w:t>
            </w:r>
            <w:r>
              <w:rPr>
                <w:rFonts w:hint="eastAsia" w:ascii="宋体" w:hAnsi="宋体" w:cs="宋体"/>
                <w:bCs/>
                <w:szCs w:val="21"/>
                <w:highlight w:val="none"/>
                <w:lang w:eastAsia="zh-CN"/>
              </w:rPr>
              <w:t>，</w:t>
            </w:r>
            <w:r>
              <w:rPr>
                <w:rFonts w:hint="eastAsia" w:ascii="宋体" w:hAnsi="宋体" w:cs="宋体"/>
                <w:bCs/>
                <w:szCs w:val="21"/>
                <w:highlight w:val="none"/>
              </w:rPr>
              <w:t>探索实施铝工业、碳素、焦化、铸造、陶瓷等行业差别化电价、水价政策。推动金马能源实施全流程超低排放改造，实现有组织废气、无组织废气排放监测监控、物料运输和化产工段等全流程、全过程</w:t>
            </w:r>
            <w:r>
              <w:rPr>
                <w:rFonts w:hint="eastAsia" w:ascii="宋体" w:hAnsi="宋体" w:cs="宋体"/>
                <w:bCs/>
                <w:szCs w:val="21"/>
                <w:highlight w:val="none"/>
                <w:lang w:eastAsia="zh-CN"/>
              </w:rPr>
              <w:t>管控</w:t>
            </w:r>
            <w:r>
              <w:rPr>
                <w:rFonts w:hint="eastAsia" w:ascii="宋体" w:hAnsi="宋体" w:cs="宋体"/>
                <w:bCs/>
                <w:szCs w:val="21"/>
                <w:highlight w:val="none"/>
              </w:rPr>
              <w:t>，有效提高焦化行业发展质量和效益，大幅削减主要大气污染物排放量。</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56"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25</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全面提升工业炉窑大气污染综合治理水平</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按照“淘汰一批、替代一批、治理一批”的原则，积极推进工业炉窑大气污染综合治理，加快实施煤改电、煤改气工程</w:t>
            </w:r>
            <w:r>
              <w:rPr>
                <w:rFonts w:hint="eastAsia" w:ascii="宋体" w:hAnsi="宋体" w:cs="宋体"/>
                <w:bCs/>
                <w:szCs w:val="21"/>
                <w:highlight w:val="none"/>
                <w:lang w:eastAsia="zh-CN"/>
              </w:rPr>
              <w:t>，</w:t>
            </w:r>
            <w:r>
              <w:rPr>
                <w:rFonts w:hint="eastAsia" w:ascii="宋体" w:hAnsi="宋体" w:cs="宋体"/>
                <w:bCs/>
                <w:szCs w:val="21"/>
                <w:highlight w:val="none"/>
              </w:rPr>
              <w:t>全面提升铝工业、铸造、铁合金、石灰窑、耐火材料、砖瓦窑、有色金属冶炼及压延等工业炉窑的治污设施处理能力，加强无组织排放管控，对涉及生产过程中的煤炭、矿砂等物料运输、装卸储存、厂内转移与输送、物料加工与处理等各生产环节实施无组织排放精准治理，实现全封闭贮存及运输。玻璃、陶瓷、耐材、碳素（石墨）、有色金属冶炼及压延行业力争50%以上企业，铝工业、砖瓦、铁合金、铸造、石灰行业力争30%以上企业，能源类型、污染治理技术、排放限值和无组织排放四项指标达到绩效分级B级以上标准。强化烟气循环等节能减排技术在烧结机等一氧化碳重点排放工业炉窑上的应用，促进环境空气一氧化碳指标持续改善。其他行业工业炉窑，在稳定达到特别排放限值或河南省工业炉窑排放标准基础上，对标绩效分级A、B级及绩效引领企业标准，完成治污设施提升改造。</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23"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26</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推进火电行业污染物总量减排</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加强火电行业燃煤质量监管，每季度对火电企业燃煤情况进行一次全覆盖检查，严厉查处使用劣质煤的火电企业。充分发挥排污许可证作用，依法督促企业采用低硫、低灰、高热值燃煤，加大优质煤的储存力度，减轻秋冬季采购压力，通过煤质提升降低火电行业污染物排放量。加强火电行业脱硝技术提升，大幅削减氨逃逸量，确保氨逃逸浓度不高于8毫克/立方米。提升火电行业已建成除尘、脱硫、脱硝设施运行绩效，进一步强化污染物排放全过程控制和管理，实现重点管控时段的污染物排放量可调控。</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发展改革和统计局、市场监督管理局、济源供电公司，相关镇人民政府</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lang w:val="zh-CN"/>
              </w:rPr>
            </w:pPr>
            <w:r>
              <w:rPr>
                <w:rFonts w:hint="eastAsia" w:ascii="宋体" w:hAnsi="宋体" w:cs="宋体"/>
                <w:bCs/>
                <w:szCs w:val="21"/>
                <w:highlight w:val="none"/>
              </w:rPr>
              <w:t>9月底前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8"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27</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加强生活垃圾焚烧企业污染治理</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指导霖林环保科学制定年度检修计划，推进垃圾焚烧发电企业全面完成提标治理，焚烧炉烟气颗粒物、二氧化硫、氮氧化物排放浓度（1小时均值）在基准氧含量11%的条件下</w:t>
            </w:r>
            <w:r>
              <w:rPr>
                <w:rFonts w:hint="eastAsia" w:ascii="宋体" w:hAnsi="宋体" w:cs="宋体"/>
                <w:bCs/>
                <w:szCs w:val="21"/>
                <w:highlight w:val="none"/>
                <w:lang w:eastAsia="zh-CN"/>
              </w:rPr>
              <w:t>，</w:t>
            </w:r>
            <w:r>
              <w:rPr>
                <w:rFonts w:hint="eastAsia" w:ascii="宋体" w:hAnsi="宋体" w:cs="宋体"/>
                <w:bCs/>
                <w:szCs w:val="21"/>
                <w:highlight w:val="none"/>
              </w:rPr>
              <w:t>分别不高于10、35、100毫克/立方米，焚烧废气氨逃逸浓度不高于8毫克/立方米。指导企业加强污染治理设施运行管理，重点关注喷氨量、活性炭喷射量、“3T+E”控制（足够温度、足够的时间、湍流和过量的空气）等，加大二噁英、重金属及酸性气体等污染物减排，鼓励企业实施二噁英、重金属在线监测。</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住房和城乡建设局、发展改革和统计局、济源供电公司，相关片区管理办公室、镇人民政府、街道办事处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9月底前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23"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28</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强化重点行业清洁生产审核</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认真落实《关于深入推进重点行业清洁生产审核工作的通知》要求，以能源、冶金、焦化、建材、有色、化工、原料药、铸造、碳素、工业涂装、包装印刷等行业作为清洁生产审核的重点，制定清洁生产审核实施方案（2021-2023年），全面落实强制性清洁生产审核要求，开展清洁生产水平和绩效整体评估，将企业清洁生产审核情况纳入企业环境信用评价体系和环境信息强制性披露范围，对违反《中华人民共和国清洁生产促进法》和《清洁生产审核办法》相关规定并受到处罚的企业，依法依规通过“信用中国”网站等渠道向社会公布，并记入其信用记录。</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发展改革和统计局，相关片区管理办公室、镇人民政府、街道办事处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4"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29</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大力推进源头替代</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通过使用水性、粉末、高固体分、无溶剂、辐射固化等低VOCs含量的涂料，水性、辐射固化、植物基等低VOCs含量的油墨，水基、热熔、无溶剂、辐射固化、改性、生物降解等低VOCs含量的胶粘剂，以及低VOCs含量、低反应活性的清洗剂等，替代溶剂型涂料、油墨、胶粘剂、清洗剂等，从源头减少VOCs产生。</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工业和科技创新委员会、生态环境局、市场监督管理局</w:t>
            </w:r>
            <w:r>
              <w:rPr>
                <w:rFonts w:hint="eastAsia" w:ascii="宋体" w:hAnsi="宋体" w:cs="宋体"/>
                <w:szCs w:val="21"/>
                <w:highlight w:val="none"/>
              </w:rPr>
              <w:t>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8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30</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加强工业企业VOCs全过程运行管理</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巩固VOCs综合治理成效，聚焦提升企业废气收集率、治理设施同步运行率和去除率，鼓励企业采用高于现行标准要求的治理措施，取消废气排放系统旁路设置，因安全生产等原因必须保留的，应逐一报备并加强日常监管。强化VOCs无组织排放收集，在保证安全的前提下，实施含VOCs物料全方位、全链条、全环节密闭管理，实现厂房由开敞变密闭、由常压变负压、由逸散变聚合、空气由污浊变清新的“四由四变”目标。2021年5月起，生态环境部门组织开展夏季VOCs重点排放单位专项检查，依法查处涉挥发性有机物环境违法行为。</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15"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31</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加大油品储运销全过程VOCs管控力度</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加强对油气回收系统的双随机检查和监督抽测，对检查监测不合格的储油库、加油站、油罐车等依法依规予以处罚。指导储油库、加油站和油罐车业主单位按规范对油气回收装置进行检测和维护，并生成季度自检报告，原始检测数据至少保留两年以上，卸油区视频监控数据保留3个月以上。推动新建储油库、加油站、新增油罐车需同步配套建设油气回收设施，推动新建储油库、加油站建设自动监控设施并与生态环境部门联网。</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生态环境局、市场监督管理局</w:t>
            </w:r>
            <w:r>
              <w:rPr>
                <w:rFonts w:hint="eastAsia" w:ascii="宋体" w:hAnsi="宋体" w:cs="宋体"/>
                <w:szCs w:val="21"/>
                <w:highlight w:val="none"/>
              </w:rPr>
              <w:t>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1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32</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深化工业园区和集群VOCs整治</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针对石化、化工、涂装工序、包装印刷、家具制造等涉VOCs重点工业园区和涉VOCs重点企业集群，因地制宜，制定“一园一策”综合治理方案，依据工艺特点实施针对性的集中治理；家具制造、皮革制品、制鞋、包装印刷等以小企业为主的集群重点推动源头替代；汽修、人造板等企业集群重点推动优化整合。推进涉VOCs工业园区建设“绿岛”项目，对石化、化工类园区推进统一泄漏检测与修复信息管理系统，有机溶剂使用量大的建设集中回收处置中心；普遍采用活性炭吸附有机废气的建设统一的脱附、再生处理中心或使用移动式脱附车。</w:t>
            </w:r>
          </w:p>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发展改革和统计局、工业和科技创新委员会，各片区管理办公室、镇人民政府、街道办事处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6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33</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强化臭氧污染管控</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紧盯臭氧防控重点时段，制定臭氧管控方案，探索完善臭氧和细颗粒物协同控制应对机制，细化轻中度管控清单，采取针对性和操作性强的举措，确保措施可核查、可考核。逐步扩大臭氧和细颗粒物协同控制范围，指导有关单位和企业制定夏季“一厂一策”实施方案，重点加强加油站、储油库、VOCs 重点企业及移动源的管控，出台激励政策，鼓励企业错峰生产，降低VOCs污染排放强度，减少臭氧污染，力争将更多轻中度污染天转为优良天。</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工业和科技创新委员会、公安局、发展改革和统计局、市场监督管理局、交通运输局，各片区管理办公室、镇人民政府、街道办事处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34</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落实差异化精准管控措施</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规范和加强重点行业企业绩效分级管理工作，提升重污染天气应对技术支撑能力，运用排污许可依法实施更加精准的差异化管控，将减排措施落实到具体单位、具体企业、具体工地、具体生产环节，做到可操作、可监测、可核查。对治理水平先进、污染物排放量低的小微涉气企业视情减少应急管控措施，避免对空气质量影响小的生活服务业采取停限产措施。按要求梳理确定涉及保障民生、保障城市正常运转或涉及国家战略性产业的保障类企业,对重点民生保障企业，原则上不管控、不减排、不打扰，综合运用污染源自动监控、分表计电、视频监控、无人机飞检等科技手段，最大程度减少对企业干扰。</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工业和科技创新委员会、公安局、住房和城乡建设局、交通运输局，各片区管理办公室、镇人民政府、街道办事处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9月底前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04"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35</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加强应急运输响应</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结合重污染天气应急响应要求，严格运输环节源头管控，对钢铁、建材、焦化、化工、煤炭、矿山、砂石骨料等涉及大宗物料运输的重点用车企业实施应急运输响应，督促制定应急运输响应方案，合理安排运力，提前做好生产物资储备。重污染天气橙色及以上预警期间，减少或停止货物公路运输及非道路移动机械使用。</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公安局、发展改革和统计局、交通运输局、工业和科技创新委员会，各片区管理办公室、镇人民政府、街道办事处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结合管控清单编制一并明确移动源管控要求，秋冬季等重点时段落实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51"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36</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实施重点行业错峰生产</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加强臭氧污染天气下的挥发性有机物和氮氧化物排放管控，减少采暖期大气污染物排放。对石化、化工、制药、农药、工业涂装、包装印刷等行业，采取调整生产负荷方式分阶段或时段实施错峰生产调控。对钢铁、焦化、水泥、耐材、陶瓷、砖瓦窑等生产工序不可中断或短时间难以完成停产的行业，结合生产特点和对空气质量的影响，实施错峰生产调控。</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生态环境局、工业和科技创新委员会</w:t>
            </w:r>
            <w:r>
              <w:rPr>
                <w:rFonts w:hint="eastAsia" w:ascii="宋体" w:hAnsi="宋体" w:cs="宋体"/>
                <w:szCs w:val="21"/>
                <w:highlight w:val="none"/>
              </w:rPr>
              <w:t>按照职责分工负责</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发展改革和统计局、济源供电公司，各片区管理办公室、镇人民政府、街道办事处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结合夏季臭氧污染管控方案和省秋冬季错峰生产要求执行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438"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37</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科学编制相关规划</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组织编制济源产城融合示范区“十四五”大气环境质量期限达标规划和涉挥发性有机物产业发展规划，实施大气污染源清单编制和源解析项目，积极开展</w:t>
            </w:r>
            <w:r>
              <w:rPr>
                <w:rFonts w:hint="eastAsia" w:ascii="宋体" w:hAnsi="宋体" w:eastAsia="仿宋_GB2312"/>
                <w:szCs w:val="21"/>
                <w:highlight w:val="none"/>
              </w:rPr>
              <w:t>PM</w:t>
            </w:r>
            <w:r>
              <w:rPr>
                <w:rFonts w:hint="eastAsia" w:ascii="宋体" w:hAnsi="宋体" w:eastAsia="仿宋_GB2312"/>
                <w:szCs w:val="21"/>
                <w:highlight w:val="none"/>
                <w:vertAlign w:val="subscript"/>
              </w:rPr>
              <w:t>2.5</w:t>
            </w:r>
            <w:r>
              <w:rPr>
                <w:rFonts w:hint="eastAsia" w:ascii="宋体" w:hAnsi="宋体" w:cs="宋体"/>
                <w:bCs/>
                <w:szCs w:val="21"/>
                <w:highlight w:val="none"/>
              </w:rPr>
              <w:t>和</w:t>
            </w:r>
            <w:r>
              <w:rPr>
                <w:rFonts w:hint="eastAsia" w:ascii="宋体" w:hAnsi="宋体" w:eastAsia="仿宋_GB2312"/>
                <w:szCs w:val="21"/>
                <w:highlight w:val="none"/>
              </w:rPr>
              <w:t>O</w:t>
            </w:r>
            <w:r>
              <w:rPr>
                <w:rFonts w:hint="eastAsia" w:ascii="宋体" w:hAnsi="宋体" w:eastAsia="仿宋_GB2312"/>
                <w:szCs w:val="21"/>
                <w:highlight w:val="none"/>
                <w:vertAlign w:val="subscript"/>
              </w:rPr>
              <w:t>3</w:t>
            </w:r>
            <w:r>
              <w:rPr>
                <w:rFonts w:hint="eastAsia" w:ascii="宋体" w:hAnsi="宋体" w:cs="宋体"/>
                <w:bCs/>
                <w:szCs w:val="21"/>
                <w:highlight w:val="none"/>
              </w:rPr>
              <w:t>污染协同防控研究工作。</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47"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38</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强化政策激励引导</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综合运用通报排名、经济奖罚、公开约谈、追责问责等多种手段，压实属地责任，确保城市空气质量排名取得好名次。加大税收政策支持力度,严格执行环境保护税法，落实购置环境保护专用设备企业所得税抵免等税收优惠政策。对符合条件的新能源汽车免征车辆购置税,继续落实对节能、新能源车船减免车船税的政策。加大对节能环保产业的政策支持力度，完善助力绿色产业发展的价格、财税、投资等政策，推进社会化生态环境治理和保护，鼓励通过政府购买服务方式实施生态环境治理和保护。</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发展改革和统计局、工业和科技创新委员会、财政金融局、税务局，各片区管理办公室、镇人民政府、街道办事处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持续推进。按月通报降尘量和环境问题突出等情况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68" w:hRule="atLeast"/>
          <w:jc w:val="center"/>
        </w:trPr>
        <w:tc>
          <w:tcPr>
            <w:tcW w:w="328" w:type="dxa"/>
            <w:vMerge w:val="restart"/>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39</w:t>
            </w:r>
          </w:p>
        </w:tc>
        <w:tc>
          <w:tcPr>
            <w:tcW w:w="1082" w:type="dxa"/>
            <w:vMerge w:val="restart"/>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不断提升监测监控和分析研判水平</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继续聘请高水平专家团队服务济源大气攻坚，持续提升空气质量精准分析研判水平。优化完善镇环境空气质量监测站点建设，科学评价各片区、镇、街道环境空气质量状况。加快环境视频监控平台建设，实现全方位、全时段、全过程工业企业污染物排放实时监测监控。在现有环境质量VOCs监测站点基础上，进一步</w:t>
            </w:r>
            <w:r>
              <w:rPr>
                <w:rFonts w:hint="eastAsia" w:ascii="宋体" w:hAnsi="宋体" w:cs="宋体"/>
                <w:bCs/>
                <w:szCs w:val="21"/>
                <w:highlight w:val="none"/>
                <w:lang w:eastAsia="zh-CN"/>
              </w:rPr>
              <w:t>加强</w:t>
            </w:r>
            <w:r>
              <w:rPr>
                <w:rFonts w:hint="eastAsia" w:ascii="宋体" w:hAnsi="宋体" w:cs="宋体"/>
                <w:bCs/>
                <w:szCs w:val="21"/>
                <w:highlight w:val="none"/>
              </w:rPr>
              <w:t>VOCs自动监测站点建设。</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财政金融局、交通运输局、各片区管理办公室、镇人民政府、街道办事处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3" w:hRule="atLeast"/>
          <w:jc w:val="center"/>
        </w:trPr>
        <w:tc>
          <w:tcPr>
            <w:tcW w:w="328" w:type="dxa"/>
            <w:vMerge w:val="continue"/>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1082" w:type="dxa"/>
            <w:vMerge w:val="continue"/>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2021年10月底前，国五排放阶段重型柴油车OBD在线监控实现全覆盖；完成26个行业大宗物料运输企业门禁系统建设。</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财政金融局、交通运输局、各片区管理办公室、镇人民政府、街道办事处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10月底前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40" w:hRule="atLeast"/>
          <w:jc w:val="center"/>
        </w:trPr>
        <w:tc>
          <w:tcPr>
            <w:tcW w:w="328" w:type="dxa"/>
            <w:vMerge w:val="continue"/>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1082" w:type="dxa"/>
            <w:vMerge w:val="continue"/>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2021年底前，完成储油库、加油站油气回收自动监控设备安装及联网工作。</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财政金融局、交通运输局、各片区管理办公室、镇人民政府、街道办事处</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0"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40</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强化监测监控数据质量控制</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督促第三方监测机构严格执行国家和地方的法律法规、标准和技术规范，监测机构对监测原始记录和报告归档留存，保证具有可追溯性。每年至少开展一次环境监测质量抽查工作，对监测机构和人员监测行为存在不规范或违法违规情况的，视情形给予告诫、责令改正、责令整改、罚款或撤销资质证书等处理，并公开通报，涉嫌犯罪的移交公安机关予以处理。</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宋体" w:cs="宋体"/>
                <w:bCs/>
                <w:szCs w:val="21"/>
                <w:highlight w:val="none"/>
                <w:lang w:eastAsia="zh-CN"/>
              </w:rPr>
            </w:pPr>
            <w:r>
              <w:rPr>
                <w:rFonts w:hint="eastAsia" w:ascii="宋体" w:hAnsi="宋体" w:cs="宋体"/>
                <w:bCs/>
                <w:szCs w:val="21"/>
                <w:highlight w:val="none"/>
              </w:rPr>
              <w:t>市场监督管理局</w:t>
            </w:r>
            <w:r>
              <w:rPr>
                <w:rFonts w:hint="eastAsia" w:ascii="宋体" w:hAnsi="宋体" w:cs="宋体"/>
                <w:bCs/>
                <w:szCs w:val="21"/>
                <w:highlight w:val="none"/>
                <w:lang w:eastAsia="zh-CN"/>
              </w:rPr>
              <w:t>、公安局</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制定专项工作方案，按照“双随机”的原则至少联合开展一次专项检查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61" w:hRule="atLeast"/>
          <w:jc w:val="center"/>
        </w:trPr>
        <w:tc>
          <w:tcPr>
            <w:tcW w:w="328"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41</w:t>
            </w:r>
          </w:p>
        </w:tc>
        <w:tc>
          <w:tcPr>
            <w:tcW w:w="10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加快生态环境大数据互联共享</w:t>
            </w:r>
          </w:p>
        </w:tc>
        <w:tc>
          <w:tcPr>
            <w:tcW w:w="616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积极推进各类生态环境治理监管数据和视频信号与生态环境局共享，实现以数据为驱动的大气污染治理管理业务协同化，以数据支撑污染减排决策智慧化，提升大气污染治理的专业化、可视化、精细化管理水平。</w:t>
            </w:r>
          </w:p>
        </w:tc>
        <w:tc>
          <w:tcPr>
            <w:tcW w:w="225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66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政务服务和大数据局、公安局、住房和城乡建设局、自然资源和规划局、水利局、农业农村局、交通运输局、市场监督管理局、</w:t>
            </w:r>
            <w:r>
              <w:rPr>
                <w:rFonts w:hint="eastAsia" w:ascii="宋体" w:hAnsi="宋体" w:cs="宋体"/>
                <w:bCs/>
                <w:szCs w:val="21"/>
                <w:highlight w:val="none"/>
                <w:lang w:eastAsia="zh-CN"/>
              </w:rPr>
              <w:t>市</w:t>
            </w:r>
            <w:r>
              <w:rPr>
                <w:rFonts w:hint="eastAsia" w:ascii="宋体" w:hAnsi="宋体" w:cs="宋体"/>
                <w:bCs/>
                <w:szCs w:val="21"/>
                <w:highlight w:val="none"/>
              </w:rPr>
              <w:t>气象局、济源供电公司</w:t>
            </w:r>
          </w:p>
        </w:tc>
        <w:tc>
          <w:tcPr>
            <w:tcW w:w="157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持续推进</w:t>
            </w:r>
          </w:p>
        </w:tc>
      </w:tr>
    </w:tbl>
    <w:p>
      <w:pPr>
        <w:keepNext w:val="0"/>
        <w:keepLines w:val="0"/>
        <w:pageBreakBefore w:val="0"/>
        <w:widowControl w:val="0"/>
        <w:kinsoku/>
        <w:wordWrap/>
        <w:overflowPunct/>
        <w:topLinePunct w:val="0"/>
        <w:autoSpaceDE/>
        <w:autoSpaceDN/>
        <w:bidi w:val="0"/>
        <w:spacing w:line="700" w:lineRule="exact"/>
        <w:jc w:val="left"/>
        <w:rPr>
          <w:rFonts w:hint="eastAsia" w:ascii="宋体" w:hAnsi="宋体" w:eastAsia="黑体" w:cs="黑体"/>
          <w:sz w:val="32"/>
          <w:szCs w:val="32"/>
          <w:highlight w:val="none"/>
        </w:rPr>
        <w:sectPr>
          <w:footerReference r:id="rId5" w:type="default"/>
          <w:pgSz w:w="16838" w:h="11906" w:orient="landscape"/>
          <w:pgMar w:top="1417" w:right="1417" w:bottom="1417" w:left="1417" w:header="851" w:footer="1304" w:gutter="0"/>
          <w:pgNumType w:fmt="decimal" w:start="24"/>
          <w:cols w:space="720" w:num="1"/>
          <w:docGrid w:type="lines" w:linePitch="324" w:charSpace="0"/>
        </w:sectPr>
      </w:pP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b w:val="0"/>
          <w:bCs w:val="0"/>
          <w:sz w:val="44"/>
          <w:szCs w:val="44"/>
          <w:highlight w:val="none"/>
        </w:rPr>
      </w:pPr>
      <w:r>
        <w:rPr>
          <w:rFonts w:hint="eastAsia" w:ascii="宋体" w:hAnsi="宋体" w:eastAsia="方正小标宋_GBK" w:cs="方正小标宋_GBK"/>
          <w:b w:val="0"/>
          <w:bCs w:val="0"/>
          <w:sz w:val="44"/>
          <w:szCs w:val="44"/>
          <w:highlight w:val="none"/>
        </w:rPr>
        <w:t>济源产城融合示范区</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简体" w:cs="方正小标宋简体"/>
          <w:b w:val="0"/>
          <w:bCs w:val="0"/>
          <w:sz w:val="44"/>
          <w:szCs w:val="44"/>
          <w:highlight w:val="none"/>
        </w:rPr>
      </w:pPr>
      <w:r>
        <w:rPr>
          <w:rFonts w:hint="eastAsia" w:ascii="宋体" w:hAnsi="宋体" w:eastAsia="方正小标宋_GBK" w:cs="方正小标宋_GBK"/>
          <w:b w:val="0"/>
          <w:bCs w:val="0"/>
          <w:sz w:val="44"/>
          <w:szCs w:val="44"/>
          <w:highlight w:val="none"/>
        </w:rPr>
        <w:t>2021年水污染防治攻坚战实施方案</w:t>
      </w:r>
    </w:p>
    <w:p>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hint="eastAsia" w:ascii="宋体" w:hAnsi="宋体" w:eastAsia="仿宋_GB2312" w:cs="仿宋_GB2312"/>
          <w:b w:val="0"/>
          <w:bCs w:val="0"/>
          <w:sz w:val="32"/>
          <w:szCs w:val="32"/>
          <w:highlight w:val="none"/>
        </w:rPr>
      </w:pP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b w:val="0"/>
          <w:bCs w:val="0"/>
          <w:sz w:val="32"/>
          <w:szCs w:val="32"/>
          <w:highlight w:val="none"/>
        </w:rPr>
        <w:t>为深入打好水污染防治攻坚战，确保济源水环境质量持续改善，特制定济源产城融合示范区2021年水污染防治攻坚战实施方案如下：</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黑体" w:cs="黑体"/>
          <w:b w:val="0"/>
          <w:bCs w:val="0"/>
          <w:sz w:val="32"/>
          <w:szCs w:val="32"/>
          <w:highlight w:val="none"/>
        </w:rPr>
      </w:pPr>
      <w:r>
        <w:rPr>
          <w:rFonts w:hint="eastAsia" w:ascii="宋体" w:hAnsi="宋体" w:eastAsia="黑体" w:cs="黑体"/>
          <w:b w:val="0"/>
          <w:bCs w:val="0"/>
          <w:sz w:val="32"/>
          <w:szCs w:val="32"/>
          <w:highlight w:val="none"/>
        </w:rPr>
        <w:t>一、工作目标</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val="0"/>
          <w:sz w:val="32"/>
          <w:szCs w:val="32"/>
          <w:highlight w:val="none"/>
        </w:rPr>
      </w:pPr>
      <w:r>
        <w:rPr>
          <w:rFonts w:hint="eastAsia" w:ascii="宋体" w:hAnsi="宋体" w:eastAsia="仿宋_GB2312"/>
          <w:b w:val="0"/>
          <w:bCs w:val="0"/>
          <w:sz w:val="32"/>
          <w:szCs w:val="32"/>
          <w:highlight w:val="none"/>
        </w:rPr>
        <w:t>完成国家和省下达的地表水环境质量和饮用水水源地水质目标。巩固提升城市建成区黑臭水体整治成果，实现“长治久清”。“十四五”新增国考断面稳定达到Ⅲ类水质以上。</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楷体_GB2312" w:cs="楷体_GB2312"/>
          <w:b w:val="0"/>
          <w:bCs w:val="0"/>
          <w:sz w:val="32"/>
          <w:szCs w:val="32"/>
          <w:highlight w:val="none"/>
        </w:rPr>
      </w:pPr>
      <w:r>
        <w:rPr>
          <w:rFonts w:hint="eastAsia" w:ascii="宋体" w:hAnsi="宋体" w:eastAsia="黑体" w:cs="黑体"/>
          <w:b w:val="0"/>
          <w:bCs w:val="0"/>
          <w:sz w:val="32"/>
          <w:szCs w:val="32"/>
          <w:highlight w:val="none"/>
        </w:rPr>
        <w:t>二、主要任务</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（一）深入打好水源地保护攻坚战役</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巩固提升饮用水水源地整治成果。巩固饮用水水源地“划、立、治”成果，持续开展地表水型水源地和“千吨万人”水源地环境问题整治“回头看”工作，实施“动态清零”。持续推进水源地规范化建设，小庄城市集中式地下水饮用水水源地建</w:t>
      </w:r>
      <w:r>
        <w:rPr>
          <w:rFonts w:hint="eastAsia" w:ascii="宋体" w:hAnsi="宋体" w:eastAsia="仿宋_GB2312" w:cs="仿宋_GB2312"/>
          <w:b w:val="0"/>
          <w:bCs w:val="0"/>
          <w:sz w:val="32"/>
          <w:szCs w:val="32"/>
          <w:highlight w:val="none"/>
          <w:lang w:eastAsia="zh-CN"/>
        </w:rPr>
        <w:t>设</w:t>
      </w:r>
      <w:r>
        <w:rPr>
          <w:rFonts w:hint="eastAsia" w:ascii="宋体" w:hAnsi="宋体" w:eastAsia="仿宋_GB2312" w:cs="仿宋_GB2312"/>
          <w:b w:val="0"/>
          <w:bCs w:val="0"/>
          <w:sz w:val="32"/>
          <w:szCs w:val="32"/>
          <w:highlight w:val="none"/>
        </w:rPr>
        <w:t>完善道路防撞护栏、导流槽、事故池等设施，补充完善保护区标识标志。组织开展城市集中式饮用水水源地基础环境状况调查评估工作，切实保障饮水安全。（示范区生态环境局牵头，示范区水利局、住房和城乡建设局、交通运输局、农业农村局、自然资源和规划局参与，相关镇人民政府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开展镇级饮用水水源保护区的“划、立、治”。推进镇级集中式饮用水水源保护区的划定、标识标志设置工作。开展水源保护区内的环境问题排查整治，建立问题清单，推进问题整治。（示范区水利局、生态环境局按职责分工负责，示范区住房和城乡建设局、交通运输局、农业农村局、自然资源和规划局参与，相关镇人民政府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（二）深入打好城市黑臭水体治理攻坚战役</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3.巩固拓展城市黑臭水体治理成果。进一步提升城市黑臭水体整治标准和整治效果，实施城市河湖生态修复和岸线治理，落实河（湖）长长效监管机制，保持“长治久清”；持续深入排查，发现一处、整治一处。（示范区住房和城乡建设局牵头，示范区生态环境局、水利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4.强力推动城镇污水处理设施建设。完善污水处理设施建设规划，提升改造城镇污水收集处理设施，进一步提升污水收集和处理能力。提升改造的城镇污水处理厂必须达到或优于一级A排放标准；具备条件的污水处理厂建设尾水人工湿地。大力推进污水管网建设和雨污分流系统改造，推动城镇污水管网全覆盖；新建城区的污水处理设施和污水管网，要与城市发展同步规划、同步建设，做到雨污分流。2021年度完成第二污水厂提标改造工程、坡头镇污水处理厂提标改造及尾水湿地建设工程，城市建成区及镇区新增污水收集管网8公里。（示范区住房和城乡建设局牵头，示范区发展改革和统计局、生态环境局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5.加快城镇污水处理厂污泥安全处置。按照“减量化、稳定化、无害化、资源化”要求，加快推进城镇污水处理厂污泥无害化处理处置和资源化利用。依法查处取缔非法污泥堆放点，禁止重金属等污染物不达标的污泥进行土地利用。2021年底，污泥无害化处置率达到95%以上。（示范区住房和城乡建设局牵头，示范区发展改革和统计局、生态环境局、交通运输局、农业农村局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（三）深入打好河湖水生态环境治理与修复攻坚战役</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6.加快污染较重河流治理。以蟒河南官庄断面为重点，加快推动蟒河治理。按照“一河一策”，做到问题、时间、区域、对象、措施“五个精准”，谋划建设一批水环境综合治理工程，进一步提升水生态环境质量。（示范区生态环境局、水利局按职责分工负责，示范区财政金融局、住房和城乡建设局、农业农村局、林业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7.深入开展入河排污口排查整治。全面深入排查入河排污口，建立入河排污口信息台账，落实“查、测、溯、治”四项要求，梳理问题类型，制定“一口一策”，分类提出整治措施，推进精准施治。（示范区生态环境局牵头，示范区水利局、住房和城乡建设局、自然资源和规划局、农业农村局、工业和科技创新委员会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8.推动河湖生态保护与修复。开展重点河湖生态环境调查与评估，谋划实施一批河湖水生态保护和修复、生态缓冲带建设、人工湿地水质净化、水系连通等工程项目，推进河湖水生态恢复。2021年完成玉阳湖连通工程、玉阳湖生态修复工程、五指河带状湿地工程、虎岭河带状湿地工程、曲阳湖提升改造工程、蟒河下游湿地工程等水系连通和人工湿地水质净化工程。（示范区水利局、生态环境局、自然资源和规划局按职责分工负责，示范区财政金融局、住房和城乡建设局、林业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9.强化河流生态流量保障。持续优化水资源配置，在科学确定重要河流断面生态流量的基础上，进一步完善示范区河湖生态流量保障机制。（示范区水利局牵头，示范区生态环境局、财政金融局、住房和城乡建设局、林业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10.深入开展河湖“清四乱”。认真落实“河湖长制”要求，巩固“清四乱”整治和河湖划界成果，推进河湖“清四乱”常态化、规范化、制度化。（示范区水利局牵头，示范区生态环境局、自然资源和规划局、林业局、济源黄河河务局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11.探索开展“美丽河湖”创建。坚持“全面系统、突出特色、建管并重、注重实效”原则，实施河湖生态修复，积极开展“美丽河湖”创建工作，推荐申报优秀案例。（示范区生态环境局、水利局按职责分工负责，示范区财政金融局、自然资源和规划局、林业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（四）强力推动黄河流域水生态保护</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12.督促水污染防治设施升级改造。《河南省黄河流域水污染物排放标准》（DB41/2087</w:t>
      </w:r>
      <w:r>
        <w:rPr>
          <w:rFonts w:hint="eastAsia" w:ascii="宋体" w:hAnsi="宋体" w:eastAsia="仿宋_GB2312" w:cs="仿宋_GB2312"/>
          <w:b w:val="0"/>
          <w:bCs w:val="0"/>
          <w:sz w:val="32"/>
          <w:szCs w:val="32"/>
          <w:highlight w:val="none"/>
          <w:lang w:val="en-US" w:eastAsia="zh-CN"/>
        </w:rPr>
        <w:t>-</w:t>
      </w:r>
      <w:r>
        <w:rPr>
          <w:rFonts w:hint="eastAsia" w:ascii="宋体" w:hAnsi="宋体" w:eastAsia="仿宋_GB2312" w:cs="仿宋_GB2312"/>
          <w:b w:val="0"/>
          <w:bCs w:val="0"/>
          <w:sz w:val="32"/>
          <w:szCs w:val="32"/>
          <w:highlight w:val="none"/>
        </w:rPr>
        <w:t>2021）已经省政府同意并发布实施，新建排污单位2021年3月1日执行，现有排污单位2022年9月1日执行。积极宣传新标准，指导、帮扶企业提前谋划，改造升级污染防治设施，提升治污水平，确保污染物排放稳定达标。（示范区生态环境局牵头，示范区工业和科技创新委员会、住房和城乡建设局、农业农村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13.统筹做好“保好水”“治差水”工作。加强黄河干流及大峪河、逢石河支流等水质较好的水体保护；实施一批水源涵养、生态湿地、水生态保护与修复等项目，持续提升济源水生态功能。加快蟒河、济河等污染较重河流治理，精准溯源，建立问题台账，有针对性的完善河流综合整治方案，实施源头治理、综合治理、系统治理。（示范区水利局、生态环境局、林业局按职责分工负责，示范区财政金融局、住房和城乡建设局、自然资源和规划局、农业农村局、应急管理局参与，相关镇人民政府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14.开展水环境承载能力研究。按照生态环境部和省生态环境厅工作安排，完成济源2020年度水环境承载能力评价工作。（示范区生态环境局牵头，示范区水利局、住房和城乡建设局、自然资源和规划局、农业农村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（五）统筹做好其它水污染防治攻坚工作</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15.编制实施水生态环境保护“十四五”规划。结合济源产城融合示范区实际，深入谋划“十四五”目标指标、重点任务、重大项目和保障机制，完成水生态环境保护“十四五”规划编制，并组织实施。（示范区生态环境局牵头，示范区住房和城乡建设局、水利局、农业农村局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16.持续实施产业结构转型升级。持续做好钢铁、石化、化工、有色、建材、造纸、皮革等行业绿色化改造。全面推行清洁生产，依法实施强制性清洁生产审核。淘汰涉水企业落后生产工艺和产能，制定并实施年度落后产能淘汰方案；按计划推进城市建成区内污染较重企业的搬迁改造或依法关闭工作。持续开展涉水“散乱污”企业排查整治，促进产业结构转型升级。2021年完成河南金马能源股份有限公司180m</w:t>
      </w:r>
      <w:r>
        <w:rPr>
          <w:rFonts w:hint="eastAsia" w:ascii="宋体" w:hAnsi="宋体" w:eastAsia="仿宋_GB2312" w:cs="仿宋_GB2312"/>
          <w:b w:val="0"/>
          <w:bCs w:val="0"/>
          <w:sz w:val="32"/>
          <w:szCs w:val="32"/>
          <w:highlight w:val="none"/>
          <w:vertAlign w:val="superscript"/>
        </w:rPr>
        <w:t>3</w:t>
      </w:r>
      <w:r>
        <w:rPr>
          <w:rFonts w:hint="eastAsia" w:ascii="宋体" w:hAnsi="宋体" w:eastAsia="仿宋_GB2312" w:cs="仿宋_GB2312"/>
          <w:b w:val="0"/>
          <w:bCs w:val="0"/>
          <w:sz w:val="32"/>
          <w:szCs w:val="32"/>
          <w:highlight w:val="none"/>
        </w:rPr>
        <w:t>/h焦化废水综合处理及回用工程、河南金利金铅集团有限公司脱硫脱硝废水深度治理工程。（示范区工业和科技创新委员会、生态环境局按照职责分工负责，示范区发展改革和统计局参与）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17.严格环境准入。深化“放、管、服”改革，强化项目事中、事后监管，提升服务水平。推进“三线一单”生态环境分区管控要求落地应用，做好规划环评，严控新建高耗水、高排放工业项目，把好项目环境准入关。（示范区发展改革和统计局、生态环境局按照职责分工负责，示范区工业和科技创新委员会、自然资源和规划局、水利局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18.节约保护水资源。持续推进农业、工业、采矿业等重点领域节水，提高水资源利用效率。推动机关事业单位和城镇居民家庭等节约用水。（示范区水利局牵头，示范区发展改革和统计局、住房和城乡建设局、工业和科技创新委员会、财政金融局、生态环境局、农业农村局、市机关事务管理局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19.积极开展污水资源化利用。在火电、钢铁、造纸、石化、化工、食品和发酵等高耗水行业，开展水效“领跑者”行动。推进园区内企业间串联用水、分质用水、一水多用和梯级循环利用，提升工业污水资源化利用效率。加快城镇再生水循环利用工程建设。到2021年底，示范区再生水利用率达到32%以上。（示范区发展改革和统计局、工业和科技创新委员会、住房和城乡建设局、水利局按职责分工负责，示范区财政金融局、生态环境局、自然资源和规划局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20.完善水环境质量自动监测体系。完善国、省、市控水环境质量监测体系，提高自动监测能力，强化监测数据质量保证，确保监测数据真实、客观、准确。（示范区生态环境局牵头，示范区财政金融局、水利局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21.建立镇、街道河流水质考核机制。结合“河长制”相关工作，在示范区主要河流及支流的镇、街道辖区分界处设置水质考核断面，对各镇、街道河流水质进行考核。每月监测一次，形成专报通报河长办和各镇、街道，并上报各市级河长。对存在问题进行交办、督办，对水质超标严重或水质连续超标的镇、街道采取通报、约谈等措施，逐步建立生态补偿机制。（示范区生态环境局牵头，示范区水利局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22.健全涉水污染源自动监控体系。开展涉水污染源自动监控设施建设情况排查，扩大监控覆盖范围；加大自动在线监控设施运行监管和日常监督检查力度，确保数据真实有效。探索开展涉水污染源污染治理设施运行状态监控。（示范区生态环境局牵头，示范区财政金融局、住房和城乡建设局、水利局、济源供电公司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23.深入开展交通运输业水污染防治。加强内河污染控制，完善船舶污染物接收、转运、处置工作机制。加快淘汰低效率、高污染老旧船舶，依法强制报废超过使用年限的船舶，新建船舶严格执行标准规范。（示范区交通运输局牵头，示范区财政金融局、水利局、生态环境局、济源供电公司参与）</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24.做好常态化疫情防控水环境监管。持续做好饮用水水源地、医疗污水和城镇污水处理环境监管，严格落实相关医疗污水消毒杀菌措施，确保稳定达标排放。（示范区生态环境局、卫生健康委、住房和城乡建设局按照职责分工负责，各镇人民政府、街道办事处配合）</w:t>
      </w:r>
    </w:p>
    <w:p>
      <w:pPr>
        <w:keepNext w:val="0"/>
        <w:keepLines w:val="0"/>
        <w:pageBreakBefore w:val="0"/>
        <w:widowControl w:val="0"/>
        <w:kinsoku/>
        <w:wordWrap/>
        <w:overflowPunct/>
        <w:topLinePunct w:val="0"/>
        <w:autoSpaceDE/>
        <w:autoSpaceDN/>
        <w:bidi w:val="0"/>
        <w:adjustRightInd w:val="0"/>
        <w:snapToGrid w:val="0"/>
        <w:spacing w:line="570" w:lineRule="exact"/>
        <w:ind w:firstLine="640" w:firstLineChars="200"/>
        <w:textAlignment w:val="auto"/>
        <w:rPr>
          <w:rFonts w:hint="eastAsia" w:ascii="宋体" w:hAnsi="宋体" w:eastAsia="仿宋_GB2312" w:cs="仿宋_GB2312"/>
          <w:b w:val="0"/>
          <w:bCs w:val="0"/>
          <w:sz w:val="32"/>
          <w:szCs w:val="32"/>
          <w:highlight w:val="none"/>
        </w:rPr>
      </w:pPr>
      <w:r>
        <w:rPr>
          <w:rFonts w:hint="eastAsia" w:ascii="宋体" w:hAnsi="宋体" w:eastAsia="仿宋_GB2312" w:cs="仿宋_GB2312"/>
          <w:b w:val="0"/>
          <w:bCs w:val="0"/>
          <w:sz w:val="32"/>
          <w:szCs w:val="32"/>
          <w:highlight w:val="none"/>
        </w:rPr>
        <w:t>25.强化涉水污染源执法监管。扎实开展污水处理厂及涉水企业执法监管，建立以排污许可为核心的监管执法体系，依法查处无证排污、不按证排污和伪造或篡改监测数据、违规使用药剂或干扰剂、偷排偷放等违法行为。（示范区生态环境局牵头，示范区住房和城乡建设局参与，各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70" w:lineRule="exact"/>
        <w:ind w:left="1598" w:leftChars="304" w:hanging="960" w:hangingChars="300"/>
        <w:textAlignment w:val="auto"/>
        <w:rPr>
          <w:rFonts w:hint="eastAsia" w:ascii="宋体" w:hAnsi="宋体" w:eastAsia="仿宋_GB2312" w:cs="仿宋_GB2312"/>
          <w:b w:val="0"/>
          <w:bCs w:val="0"/>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70" w:lineRule="exact"/>
        <w:ind w:left="1598" w:leftChars="304" w:hanging="960" w:hangingChars="300"/>
        <w:textAlignment w:val="auto"/>
        <w:rPr>
          <w:rFonts w:hint="eastAsia" w:ascii="宋体" w:hAnsi="宋体" w:eastAsia="仿宋_GB2312" w:cs="仿宋_GB2312"/>
          <w:b w:val="0"/>
          <w:bCs w:val="0"/>
          <w:sz w:val="32"/>
          <w:szCs w:val="32"/>
          <w:highlight w:val="none"/>
        </w:rPr>
        <w:sectPr>
          <w:footerReference r:id="rId6" w:type="default"/>
          <w:pgSz w:w="11906" w:h="16838"/>
          <w:pgMar w:top="1871" w:right="1474" w:bottom="1701" w:left="1587" w:header="851" w:footer="1531" w:gutter="0"/>
          <w:pgNumType w:fmt="decimal" w:start="40"/>
          <w:cols w:space="0" w:num="1"/>
          <w:docGrid w:type="lines" w:linePitch="324" w:charSpace="0"/>
        </w:sectPr>
      </w:pPr>
      <w:r>
        <w:rPr>
          <w:rFonts w:hint="eastAsia" w:ascii="宋体" w:hAnsi="宋体" w:eastAsia="仿宋_GB2312" w:cs="仿宋_GB2312"/>
          <w:b w:val="0"/>
          <w:bCs w:val="0"/>
          <w:sz w:val="32"/>
          <w:szCs w:val="32"/>
          <w:highlight w:val="none"/>
        </w:rPr>
        <w:t>附件：济源产城融合示范区2021年水污染防治工作任务分解台账</w:t>
      </w:r>
    </w:p>
    <w:p>
      <w:pPr>
        <w:keepNext w:val="0"/>
        <w:keepLines w:val="0"/>
        <w:pageBreakBefore w:val="0"/>
        <w:widowControl w:val="0"/>
        <w:kinsoku/>
        <w:wordWrap/>
        <w:overflowPunct/>
        <w:topLinePunct w:val="0"/>
        <w:autoSpaceDE/>
        <w:autoSpaceDN/>
        <w:bidi w:val="0"/>
        <w:spacing w:line="700" w:lineRule="exact"/>
        <w:jc w:val="left"/>
        <w:rPr>
          <w:rFonts w:ascii="宋体" w:hAnsi="宋体" w:eastAsia="黑体" w:cs="黑体"/>
          <w:sz w:val="32"/>
          <w:szCs w:val="32"/>
          <w:highlight w:val="none"/>
        </w:rPr>
      </w:pPr>
      <w:r>
        <w:rPr>
          <w:rFonts w:hint="eastAsia" w:ascii="宋体" w:hAnsi="宋体" w:eastAsia="黑体" w:cs="黑体"/>
          <w:sz w:val="32"/>
          <w:szCs w:val="32"/>
          <w:highlight w:val="none"/>
        </w:rPr>
        <w:t>附</w:t>
      </w:r>
      <w:r>
        <w:rPr>
          <w:rFonts w:hint="eastAsia" w:ascii="宋体" w:hAnsi="宋体" w:eastAsia="黑体" w:cs="黑体"/>
          <w:sz w:val="32"/>
          <w:szCs w:val="32"/>
          <w:highlight w:val="none"/>
          <w:lang w:val="en-US" w:eastAsia="zh-CN"/>
        </w:rPr>
        <w:t xml:space="preserve"> </w:t>
      </w:r>
      <w:r>
        <w:rPr>
          <w:rFonts w:hint="eastAsia" w:ascii="宋体" w:hAnsi="宋体" w:eastAsia="黑体" w:cs="黑体"/>
          <w:sz w:val="32"/>
          <w:szCs w:val="32"/>
          <w:highlight w:val="none"/>
        </w:rPr>
        <w:t>件</w:t>
      </w:r>
    </w:p>
    <w:p>
      <w:pPr>
        <w:keepNext w:val="0"/>
        <w:keepLines w:val="0"/>
        <w:pageBreakBefore w:val="0"/>
        <w:widowControl w:val="0"/>
        <w:kinsoku/>
        <w:wordWrap/>
        <w:overflowPunct/>
        <w:topLinePunct w:val="0"/>
        <w:autoSpaceDE/>
        <w:autoSpaceDN/>
        <w:bidi w:val="0"/>
        <w:spacing w:line="592" w:lineRule="exact"/>
        <w:jc w:val="center"/>
        <w:rPr>
          <w:rFonts w:hint="eastAsia" w:ascii="宋体" w:hAnsi="宋体" w:eastAsia="方正小标宋_GBK" w:cs="方正小标宋_GBK"/>
          <w:bCs/>
          <w:kern w:val="4"/>
          <w:sz w:val="44"/>
          <w:szCs w:val="44"/>
          <w:highlight w:val="none"/>
        </w:rPr>
      </w:pPr>
      <w:r>
        <w:rPr>
          <w:rFonts w:hint="eastAsia" w:ascii="宋体" w:hAnsi="宋体" w:eastAsia="方正小标宋_GBK" w:cs="方正小标宋_GBK"/>
          <w:bCs/>
          <w:kern w:val="4"/>
          <w:sz w:val="44"/>
          <w:szCs w:val="44"/>
          <w:highlight w:val="none"/>
        </w:rPr>
        <w:t>济源产城融合示范区</w:t>
      </w:r>
    </w:p>
    <w:p>
      <w:pPr>
        <w:keepNext w:val="0"/>
        <w:keepLines w:val="0"/>
        <w:pageBreakBefore w:val="0"/>
        <w:widowControl w:val="0"/>
        <w:kinsoku/>
        <w:wordWrap/>
        <w:overflowPunct/>
        <w:topLinePunct w:val="0"/>
        <w:autoSpaceDE/>
        <w:autoSpaceDN/>
        <w:bidi w:val="0"/>
        <w:spacing w:line="592" w:lineRule="exact"/>
        <w:jc w:val="center"/>
        <w:rPr>
          <w:rFonts w:hint="eastAsia" w:ascii="宋体" w:hAnsi="宋体" w:eastAsia="方正小标宋_GBK" w:cs="方正小标宋_GBK"/>
          <w:bCs/>
          <w:kern w:val="4"/>
          <w:sz w:val="44"/>
          <w:szCs w:val="44"/>
          <w:highlight w:val="none"/>
        </w:rPr>
      </w:pPr>
      <w:r>
        <w:rPr>
          <w:rFonts w:hint="eastAsia" w:ascii="宋体" w:hAnsi="宋体" w:eastAsia="方正小标宋_GBK" w:cs="方正小标宋_GBK"/>
          <w:bCs/>
          <w:kern w:val="4"/>
          <w:sz w:val="44"/>
          <w:szCs w:val="44"/>
          <w:highlight w:val="none"/>
        </w:rPr>
        <w:t>2021年水污染防治工作任务分解台账</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方正小标宋简体" w:cs="方正小标宋简体"/>
          <w:bCs/>
          <w:kern w:val="4"/>
          <w:sz w:val="44"/>
          <w:szCs w:val="44"/>
          <w:highlight w:val="none"/>
        </w:rPr>
      </w:pP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294"/>
        <w:gridCol w:w="1417"/>
        <w:gridCol w:w="5335"/>
        <w:gridCol w:w="1554"/>
        <w:gridCol w:w="2235"/>
        <w:gridCol w:w="30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7" w:hRule="atLeast"/>
          <w:tblHeader/>
          <w:jc w:val="center"/>
        </w:trPr>
        <w:tc>
          <w:tcPr>
            <w:tcW w:w="29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序号</w:t>
            </w:r>
          </w:p>
        </w:tc>
        <w:tc>
          <w:tcPr>
            <w:tcW w:w="141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工作任务</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具体事项</w:t>
            </w:r>
          </w:p>
        </w:tc>
        <w:tc>
          <w:tcPr>
            <w:tcW w:w="15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负责单位</w:t>
            </w:r>
          </w:p>
        </w:tc>
        <w:tc>
          <w:tcPr>
            <w:tcW w:w="22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配合单位</w:t>
            </w:r>
          </w:p>
        </w:tc>
        <w:tc>
          <w:tcPr>
            <w:tcW w:w="3081"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工作或时限要求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28" w:hRule="atLeast"/>
          <w:jc w:val="center"/>
        </w:trPr>
        <w:tc>
          <w:tcPr>
            <w:tcW w:w="29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w:t>
            </w:r>
          </w:p>
        </w:tc>
        <w:tc>
          <w:tcPr>
            <w:tcW w:w="141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巩固提升饮用水水源地整治成果</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小庄城市集中式地下水饮用水水源地建</w:t>
            </w:r>
            <w:r>
              <w:rPr>
                <w:rFonts w:hint="eastAsia" w:ascii="宋体" w:hAnsi="宋体" w:cs="宋体"/>
                <w:bCs/>
                <w:szCs w:val="21"/>
                <w:highlight w:val="none"/>
                <w:lang w:eastAsia="zh-CN"/>
              </w:rPr>
              <w:t>设</w:t>
            </w:r>
            <w:r>
              <w:rPr>
                <w:rFonts w:hint="eastAsia" w:ascii="宋体" w:hAnsi="宋体" w:cs="宋体"/>
                <w:bCs/>
                <w:szCs w:val="21"/>
                <w:highlight w:val="none"/>
              </w:rPr>
              <w:t>完善道路防撞护栏、导流槽、事故池等设施，补充完善保护区标识标志。组织开展城市集中式饮用水水源地基础环境状况调查评估工作。</w:t>
            </w:r>
          </w:p>
        </w:tc>
        <w:tc>
          <w:tcPr>
            <w:tcW w:w="15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2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水利局、住房和城乡建设局、交通运输局、农业农村局、自然资源和规划局、相关镇人民政府</w:t>
            </w:r>
          </w:p>
        </w:tc>
        <w:tc>
          <w:tcPr>
            <w:tcW w:w="3081"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14"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开展镇级饮用水水源保护区的“划、立、治”</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推进镇级集中式饮用水水源保护区的划定、标识标志设置工作。开展水源保护区内的环境问题排查整治，建立问题清单，推进问题整治。</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水利局、生态环境局按职责分工负责</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住房和城乡建设局、交通运输局、农业农村局、自然资源和规划局、相关镇人民政府</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47"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巩固拓展城市黑臭水体治理成果</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进一步提升城市黑臭水体整治标准和整治效果，实施城市河湖生态修复和岸线治理，落实河（湖）长长效监管机制，保持“长治久清”；持续深入排查，发现一处、整治一处。</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生态环境局、水利局</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63"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4</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强力推动城镇污水处理设施建设</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2021年度完成第二污水厂提标改造工程、坡头镇污水处理厂提标改造及尾水湿地建设工程，城市建成区及镇区新增污水收集管网8公里。</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发展改革和统计委、生态环境局，</w:t>
            </w:r>
            <w:r>
              <w:rPr>
                <w:rFonts w:hint="eastAsia" w:ascii="宋体" w:hAnsi="宋体" w:cs="宋体"/>
                <w:kern w:val="0"/>
                <w:szCs w:val="21"/>
                <w:highlight w:val="none"/>
                <w:lang w:bidi="ar"/>
              </w:rPr>
              <w:t>各片区管理办公室、镇人民政府、街道办事处</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83"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5</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加快城镇污水处理厂污泥安全处置</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按照“减量化、稳定化、无害化、资源化”要求，加快推进城镇污水处理厂污泥无害化处理处置和资源化利用</w:t>
            </w:r>
            <w:r>
              <w:rPr>
                <w:rFonts w:hint="eastAsia" w:ascii="宋体" w:hAnsi="宋体" w:cs="宋体"/>
                <w:kern w:val="0"/>
                <w:szCs w:val="21"/>
                <w:highlight w:val="none"/>
              </w:rPr>
              <w:t>。</w:t>
            </w:r>
            <w:r>
              <w:rPr>
                <w:rFonts w:hint="eastAsia" w:ascii="宋体" w:hAnsi="宋体" w:cs="宋体"/>
                <w:szCs w:val="21"/>
                <w:highlight w:val="none"/>
              </w:rPr>
              <w:t>依法查处取缔非法污泥堆放点，禁止重金属等污染物不达标的污泥进行土地利用。2021年底，污泥无害化处置率达到95%以上。</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发展改革和统计委、生态环境局、交通运输局、农业农村局，</w:t>
            </w:r>
            <w:r>
              <w:rPr>
                <w:rFonts w:hint="eastAsia" w:ascii="宋体" w:hAnsi="宋体" w:cs="宋体"/>
                <w:kern w:val="0"/>
                <w:szCs w:val="21"/>
                <w:highlight w:val="none"/>
                <w:lang w:bidi="ar"/>
              </w:rPr>
              <w:t>各片区管理办公室、镇人民政府、街道办事处</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09"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6</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加快污染较重河流治理</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以蟒河南官庄断面为重点，加快推动蟒河治理。按照“一河一策”，做到问题、时间、区域、对象、措施“五个精准”，谋划建设一批水环境综合治理工程，进一步提升水生态环境质量。</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生态环境局、水利局按职责分工负责</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财政金融局、住房和城乡建设局、农业农村局、林业局</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56" w:hRule="atLeast"/>
          <w:jc w:val="center"/>
        </w:trPr>
        <w:tc>
          <w:tcPr>
            <w:tcW w:w="29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7</w:t>
            </w:r>
          </w:p>
        </w:tc>
        <w:tc>
          <w:tcPr>
            <w:tcW w:w="141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深入开展入河</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排污口排查整治</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全面深入排查入河排污口，建立入河排污口信息台账，落实“查、测、溯、治”四项要求，梳理问题类型，制定“一口一策”，分类提出整治措施，推进精准施治。</w:t>
            </w:r>
          </w:p>
        </w:tc>
        <w:tc>
          <w:tcPr>
            <w:tcW w:w="155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水利局、住房和城乡建设局、自然资源和规划局、农业农村局、工业和科技创新委员会，</w:t>
            </w:r>
            <w:r>
              <w:rPr>
                <w:rFonts w:hint="eastAsia" w:ascii="宋体" w:hAnsi="宋体" w:cs="宋体"/>
                <w:kern w:val="0"/>
                <w:szCs w:val="21"/>
                <w:highlight w:val="none"/>
                <w:lang w:bidi="ar"/>
              </w:rPr>
              <w:t>各片区管理办公室、镇人民政府、街道办事处</w:t>
            </w:r>
          </w:p>
        </w:tc>
        <w:tc>
          <w:tcPr>
            <w:tcW w:w="3081"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12月底前完成坡头镇中沃实业有限公司排污口、坡头镇坡头村大队部西1200米生活污水排污口整治。其它任务按照既定方案扎实推进。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28"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8</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推动河湖生态保护与修复</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完成玉阳湖连通工程、玉阳湖生态修复工程、五指河带状湿地工程、虎岭河带状湿地工程、曲阳湖提升改造工程、蟒河下游湿地工程等水系连通和人工湿地水质净化工程。</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生态环境局、自然资源和规划局、财政金融局、住房和城乡建设局、林业局</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67"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9</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强化河流生态流量保障</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持续优化水资源配置，在科学确定重要河流断面生态流量的基础上，进一步完善示范区河湖生态流量保障机制。</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kern w:val="0"/>
                <w:szCs w:val="21"/>
                <w:highlight w:val="none"/>
              </w:rPr>
            </w:pPr>
            <w:r>
              <w:rPr>
                <w:rFonts w:hint="eastAsia" w:ascii="宋体" w:hAnsi="宋体" w:cs="宋体"/>
                <w:szCs w:val="21"/>
                <w:highlight w:val="none"/>
              </w:rPr>
              <w:t>生态环境局、财政金融局、住房和城乡建设局、林业局</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97" w:hRule="atLeast"/>
          <w:jc w:val="center"/>
        </w:trPr>
        <w:tc>
          <w:tcPr>
            <w:tcW w:w="29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10</w:t>
            </w:r>
          </w:p>
        </w:tc>
        <w:tc>
          <w:tcPr>
            <w:tcW w:w="141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深入开展河湖</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“清四乱”</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认真落实“河湖长制”要求，巩固“清四乱”整治和河湖划界成果，推进河湖“清四乱”常态化、规范化、制度化。</w:t>
            </w:r>
          </w:p>
        </w:tc>
        <w:tc>
          <w:tcPr>
            <w:tcW w:w="155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w:t>
            </w:r>
          </w:p>
        </w:tc>
        <w:tc>
          <w:tcPr>
            <w:tcW w:w="2235"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kern w:val="0"/>
                <w:szCs w:val="21"/>
                <w:highlight w:val="none"/>
              </w:rPr>
            </w:pPr>
            <w:r>
              <w:rPr>
                <w:rFonts w:hint="eastAsia" w:ascii="宋体" w:hAnsi="宋体" w:cs="宋体"/>
                <w:szCs w:val="21"/>
                <w:highlight w:val="none"/>
              </w:rPr>
              <w:t>生态环境局、自然资源和规划局、林业局、济源黄河河务局，</w:t>
            </w:r>
            <w:r>
              <w:rPr>
                <w:rFonts w:hint="eastAsia" w:ascii="宋体" w:hAnsi="宋体" w:cs="宋体"/>
                <w:kern w:val="0"/>
                <w:szCs w:val="21"/>
                <w:highlight w:val="none"/>
                <w:lang w:bidi="ar"/>
              </w:rPr>
              <w:t>各片区管理办公室、镇人民政府、街道办事处</w:t>
            </w:r>
          </w:p>
        </w:tc>
        <w:tc>
          <w:tcPr>
            <w:tcW w:w="3081"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35"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11</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探索开展“美丽河湖”创建</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bCs/>
                <w:szCs w:val="21"/>
                <w:highlight w:val="none"/>
              </w:rPr>
              <w:t>积极开展“美丽河湖”创建工作，推荐申报优秀案例。</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生态环境局、水利局</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kern w:val="0"/>
                <w:szCs w:val="21"/>
                <w:highlight w:val="none"/>
              </w:rPr>
            </w:pPr>
            <w:r>
              <w:rPr>
                <w:rFonts w:hint="eastAsia" w:ascii="宋体" w:hAnsi="宋体" w:cs="宋体"/>
                <w:szCs w:val="21"/>
                <w:highlight w:val="none"/>
              </w:rPr>
              <w:t>财政金融局、自然资源和规划局、林业局</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18"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督促水污染防治设施升级改造</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积极宣传《河南省黄河流域水污染物排放标准》，指导、帮扶企业提前谋划，改造升级污染防治设施，提升治污水平，确保污染物排放稳定达标。</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工业和科技创新委员会、住房和城乡建设局、农业农村局</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13</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统筹做好“保好水”“治差水”工作</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加强黄河干流及大峪河、逢石河支流等水质较好的水体保护；实施一批水源涵养、生态湿地、水生态保护与修复等项目，持续提升济源水生态功能。加快蟒河、济河等污染较重河流治理，精准溯源，建立问题台账，有针对性的完善河流综合整治方案，实施源头治理、综合治理、系统治理。</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水利局、生态环境局、林业局按职责分工负责</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kern w:val="0"/>
                <w:szCs w:val="21"/>
                <w:highlight w:val="none"/>
              </w:rPr>
            </w:pPr>
            <w:r>
              <w:rPr>
                <w:rFonts w:hint="eastAsia" w:ascii="宋体" w:hAnsi="宋体" w:cs="宋体"/>
                <w:szCs w:val="21"/>
                <w:highlight w:val="none"/>
              </w:rPr>
              <w:t>财政金融局、住房和城乡建设局、自然资源和规划局、农业农村局、应急管理局、相关镇人民政府</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63" w:hRule="atLeast"/>
          <w:jc w:val="center"/>
        </w:trPr>
        <w:tc>
          <w:tcPr>
            <w:tcW w:w="29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14</w:t>
            </w:r>
          </w:p>
        </w:tc>
        <w:tc>
          <w:tcPr>
            <w:tcW w:w="141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开展水环境承载能力研究</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完成济源2020年度水环境承载能力评价报告。</w:t>
            </w:r>
          </w:p>
        </w:tc>
        <w:tc>
          <w:tcPr>
            <w:tcW w:w="155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水利局、住房和城乡建设局、自然资源和规划局、农业农村局</w:t>
            </w:r>
          </w:p>
        </w:tc>
        <w:tc>
          <w:tcPr>
            <w:tcW w:w="3081"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5月底前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03"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15</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编制实施</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水生态环境保护“十四五”规划</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结合济源产城融合示范区实际，深入谋划“十四五”目标指标、重点任务、重大项目和保障机制，完成水生态环境保护“十四五”规划编制。</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住房和城乡建设局、水利局、农业农村局，</w:t>
            </w:r>
            <w:r>
              <w:rPr>
                <w:rFonts w:hint="eastAsia" w:ascii="宋体" w:hAnsi="宋体" w:cs="宋体"/>
                <w:kern w:val="0"/>
                <w:szCs w:val="21"/>
                <w:highlight w:val="none"/>
                <w:lang w:bidi="ar"/>
              </w:rPr>
              <w:t>各片区管理办公室、镇人民政府、街道办事处</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65" w:hRule="atLeast"/>
          <w:jc w:val="center"/>
        </w:trPr>
        <w:tc>
          <w:tcPr>
            <w:tcW w:w="294" w:type="dxa"/>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16</w:t>
            </w:r>
          </w:p>
        </w:tc>
        <w:tc>
          <w:tcPr>
            <w:tcW w:w="141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持续实施产业结构转型升级</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持续做好钢铁、石化、化工、有色、建材、造纸、皮革等行业绿色化改造。全面推行清洁生产，依法实施强制性清洁生产审核。淘汰涉水企业落后生产工艺和产能，制定并实施年度落后产能淘汰方案；按计划推进城市建成区内污染较重企业的搬迁改造或依法关闭工作。持续开展涉水“散乱污”企业排查整治，促进产业结构转型升级。2021年完成河南金马能源股份有限公司180m3/h焦化废水综合处理及回用工程、河南金利金铅集团有限公司脱硫脱硝废水深度治理工程。</w:t>
            </w:r>
          </w:p>
        </w:tc>
        <w:tc>
          <w:tcPr>
            <w:tcW w:w="15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工业和科技创新委员会、生态环境局按照职责分工负责</w:t>
            </w:r>
          </w:p>
        </w:tc>
        <w:tc>
          <w:tcPr>
            <w:tcW w:w="22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发展改革和统计委</w:t>
            </w:r>
          </w:p>
        </w:tc>
        <w:tc>
          <w:tcPr>
            <w:tcW w:w="3081"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12月底前完成河南金马能源股份有限公司180m3/h焦化废水综合处理及回用工程、河南金利金铅集团有限公司脱硫脱硝废水深度治理工程建设，其它工作按照既定方案扎实推进.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74" w:hRule="atLeast"/>
          <w:jc w:val="center"/>
        </w:trPr>
        <w:tc>
          <w:tcPr>
            <w:tcW w:w="294" w:type="dxa"/>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17</w:t>
            </w:r>
          </w:p>
        </w:tc>
        <w:tc>
          <w:tcPr>
            <w:tcW w:w="141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严格环境准入</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深化“放、管、服”改革，强化项目事中、事后监管，提升服务水平。推进“三线一单”生态环境分区管控要求落地应用，做好规划环评，严控新建高耗水、高排放工业项目，把好项目环境准入关。</w:t>
            </w:r>
          </w:p>
        </w:tc>
        <w:tc>
          <w:tcPr>
            <w:tcW w:w="15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发展改革和统计委、生态环境局按照职责分工负责</w:t>
            </w:r>
          </w:p>
        </w:tc>
        <w:tc>
          <w:tcPr>
            <w:tcW w:w="22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kern w:val="0"/>
                <w:szCs w:val="21"/>
                <w:highlight w:val="none"/>
              </w:rPr>
            </w:pPr>
            <w:r>
              <w:rPr>
                <w:rFonts w:hint="eastAsia" w:ascii="宋体" w:hAnsi="宋体" w:cs="宋体"/>
                <w:szCs w:val="21"/>
                <w:highlight w:val="none"/>
              </w:rPr>
              <w:t>工业和科技创新委员会、自然资源和规划局、水利局</w:t>
            </w:r>
          </w:p>
        </w:tc>
        <w:tc>
          <w:tcPr>
            <w:tcW w:w="3081"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76"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18</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节约保护水资源</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szCs w:val="21"/>
                <w:highlight w:val="none"/>
              </w:rPr>
              <w:t>持续推进农业、工业、采矿业等重点领域节水，提高水资源利用效率。推动机关事业单位和城镇居民家庭等节约用水。</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水利局</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发展改革和统计委、住房和城乡建设局、工业和科技创新委员会、市机关事务管理局、财政金融局、生态环境局、农业农村局</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93" w:hRule="atLeast"/>
          <w:jc w:val="center"/>
        </w:trPr>
        <w:tc>
          <w:tcPr>
            <w:tcW w:w="294" w:type="dxa"/>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19</w:t>
            </w:r>
          </w:p>
        </w:tc>
        <w:tc>
          <w:tcPr>
            <w:tcW w:w="141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积极开展污水</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资源化利用</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在火电、钢铁、造纸、石化、化工、食品和发酵等高耗水行业，开展水效“领跑者”行动。推进园区内企业间串联用水、分质用水、一水多用和梯级循环利用，提升工业污水资源化利用效率。加快城镇再生水循环利用工程建设。到2021年底，示范区再生水利用率达到32%以上。</w:t>
            </w:r>
          </w:p>
        </w:tc>
        <w:tc>
          <w:tcPr>
            <w:tcW w:w="15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发展改革和统计委、工业和科技创新委员会、住房和城乡建设局、水利局按职责分工负责</w:t>
            </w:r>
          </w:p>
        </w:tc>
        <w:tc>
          <w:tcPr>
            <w:tcW w:w="22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kern w:val="0"/>
                <w:szCs w:val="21"/>
                <w:highlight w:val="none"/>
              </w:rPr>
            </w:pPr>
            <w:r>
              <w:rPr>
                <w:rFonts w:hint="eastAsia" w:ascii="宋体" w:hAnsi="宋体" w:cs="宋体"/>
                <w:szCs w:val="21"/>
                <w:highlight w:val="none"/>
              </w:rPr>
              <w:t>财政金融局、生态环境局、自然资源和规划局，</w:t>
            </w:r>
            <w:r>
              <w:rPr>
                <w:rFonts w:hint="eastAsia" w:ascii="宋体" w:hAnsi="宋体" w:cs="宋体"/>
                <w:kern w:val="0"/>
                <w:szCs w:val="21"/>
                <w:highlight w:val="none"/>
                <w:lang w:bidi="ar"/>
              </w:rPr>
              <w:t>各片区管理办公室、镇人民政府、街道办事处</w:t>
            </w:r>
          </w:p>
        </w:tc>
        <w:tc>
          <w:tcPr>
            <w:tcW w:w="3081" w:type="dxa"/>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66"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20</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完善水环境质量自动监测体系</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完善国、省、市控水环境质量监测体系，提高自动监测能力，强化监测数据质量保证，确保监测数据真实、客观、准确。</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kern w:val="0"/>
                <w:szCs w:val="21"/>
                <w:highlight w:val="none"/>
              </w:rPr>
            </w:pPr>
            <w:r>
              <w:rPr>
                <w:rFonts w:hint="eastAsia" w:ascii="宋体" w:hAnsi="宋体" w:cs="宋体"/>
                <w:bCs/>
                <w:szCs w:val="21"/>
                <w:highlight w:val="none"/>
              </w:rPr>
              <w:t>财政金融局、水利局</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57"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21</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建立镇、街道</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河流水质考核机制</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结合“河长制”相关工作，在示范区主要河流及支流的镇、街道辖区分界处设置水质考核断面，对各镇、街道河流水质进行考核。每月监测一次，形成专报通报河长办和各镇、街道，并上报各市级河长。对存在问题进行交办、督办，对水质超标严重或水质连续超标的镇（办）采取通报、约谈等措施，逐步建立生态补偿机制。</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1" w:hRule="atLeast"/>
          <w:jc w:val="center"/>
        </w:trPr>
        <w:tc>
          <w:tcPr>
            <w:tcW w:w="29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22</w:t>
            </w:r>
          </w:p>
        </w:tc>
        <w:tc>
          <w:tcPr>
            <w:tcW w:w="141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健全涉水污染源自动监控体系</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开展涉水污染源自动监控设施建设情况排查，扩大监控覆盖范围；加大自动在线监控设施运行监管和日常监督检查力度，确保数据真实有效。探索开展涉水污染源污染治理设施运行状态监控。</w:t>
            </w:r>
          </w:p>
        </w:tc>
        <w:tc>
          <w:tcPr>
            <w:tcW w:w="1554"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财政金融局、住房和城乡建设局、水利局、电力公司</w:t>
            </w:r>
          </w:p>
        </w:tc>
        <w:tc>
          <w:tcPr>
            <w:tcW w:w="3081"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jc w:val="center"/>
        </w:trPr>
        <w:tc>
          <w:tcPr>
            <w:tcW w:w="294" w:type="dxa"/>
            <w:noWrap w:val="0"/>
            <w:vAlign w:val="center"/>
          </w:tcPr>
          <w:p>
            <w:pPr>
              <w:keepNext w:val="0"/>
              <w:keepLines w:val="0"/>
              <w:pageBreakBefore w:val="0"/>
              <w:widowControl w:val="0"/>
              <w:kinsoku/>
              <w:wordWrap/>
              <w:overflowPunct/>
              <w:topLinePunct w:val="0"/>
              <w:autoSpaceDE/>
              <w:autoSpaceDN/>
              <w:bidi w:val="0"/>
              <w:spacing w:line="300" w:lineRule="exact"/>
              <w:jc w:val="center"/>
              <w:textAlignment w:val="center"/>
              <w:rPr>
                <w:rFonts w:hint="eastAsia" w:ascii="宋体" w:hAnsi="宋体" w:cs="宋体"/>
                <w:bCs/>
                <w:szCs w:val="21"/>
                <w:highlight w:val="none"/>
              </w:rPr>
            </w:pPr>
            <w:r>
              <w:rPr>
                <w:rFonts w:hint="eastAsia" w:ascii="宋体" w:hAnsi="宋体" w:cs="宋体"/>
                <w:bCs/>
                <w:szCs w:val="21"/>
                <w:highlight w:val="none"/>
              </w:rPr>
              <w:t>23</w:t>
            </w:r>
          </w:p>
        </w:tc>
        <w:tc>
          <w:tcPr>
            <w:tcW w:w="141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深入开展交通运输业水污染防治</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进一步提升完善高速公路收费站、服务区污水处理能力，推进污水资源化利用。加强内河污染控制，完善港口船舶污染物接收、转运、处置工作机制。加快淘汰低效率、高污染老旧船舶，依法强制报废超过使用年限的船舶，新建船舶严格执行标准规范。</w:t>
            </w:r>
          </w:p>
        </w:tc>
        <w:tc>
          <w:tcPr>
            <w:tcW w:w="15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交通运输局</w:t>
            </w:r>
          </w:p>
        </w:tc>
        <w:tc>
          <w:tcPr>
            <w:tcW w:w="223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财政金融局、水利局、生态环境局、电力公司</w:t>
            </w:r>
          </w:p>
        </w:tc>
        <w:tc>
          <w:tcPr>
            <w:tcW w:w="3081"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3" w:hRule="atLeast"/>
          <w:jc w:val="center"/>
        </w:trPr>
        <w:tc>
          <w:tcPr>
            <w:tcW w:w="29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24</w:t>
            </w:r>
          </w:p>
        </w:tc>
        <w:tc>
          <w:tcPr>
            <w:tcW w:w="141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做好常态化疫情防控水环境监管</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持续做好饮用水水源地、医疗污水和城镇污水处理环境监管，严格落实相关医疗污水消毒杀菌措施，确保稳定达标排放。</w:t>
            </w:r>
          </w:p>
        </w:tc>
        <w:tc>
          <w:tcPr>
            <w:tcW w:w="1554"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生态环境局、卫生健康委、住房和城乡建设局按照职责分工负责</w:t>
            </w:r>
          </w:p>
        </w:tc>
        <w:tc>
          <w:tcPr>
            <w:tcW w:w="223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kern w:val="0"/>
                <w:szCs w:val="21"/>
                <w:highlight w:val="none"/>
                <w:lang w:bidi="ar"/>
              </w:rPr>
              <w:t>各镇人民政府、街道办事处</w:t>
            </w:r>
          </w:p>
        </w:tc>
        <w:tc>
          <w:tcPr>
            <w:tcW w:w="308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62" w:hRule="atLeast"/>
          <w:jc w:val="center"/>
        </w:trPr>
        <w:tc>
          <w:tcPr>
            <w:tcW w:w="29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25</w:t>
            </w:r>
          </w:p>
        </w:tc>
        <w:tc>
          <w:tcPr>
            <w:tcW w:w="1417"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强化涉水污染源执法监管</w:t>
            </w:r>
          </w:p>
        </w:tc>
        <w:tc>
          <w:tcPr>
            <w:tcW w:w="5335"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扎实开展城镇和产业集聚区（园区）污水处理厂，以及涉水企业执法监管，建立以排污许可为核心的监管执法体系，依法查处无证排污、不按证排污和伪造或篡改监测数据、违规使用药剂或干扰剂、偷排偷放等违法行为。</w:t>
            </w:r>
          </w:p>
        </w:tc>
        <w:tc>
          <w:tcPr>
            <w:tcW w:w="1554"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35"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w:t>
            </w:r>
            <w:r>
              <w:rPr>
                <w:rFonts w:hint="eastAsia" w:ascii="宋体" w:hAnsi="宋体" w:cs="宋体"/>
                <w:kern w:val="0"/>
                <w:szCs w:val="21"/>
                <w:highlight w:val="none"/>
                <w:lang w:bidi="ar"/>
              </w:rPr>
              <w:t>各片区管理办公室、镇人民政府、街道办事处</w:t>
            </w:r>
          </w:p>
        </w:tc>
        <w:tc>
          <w:tcPr>
            <w:tcW w:w="308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highlight w:val="none"/>
              </w:rPr>
            </w:pPr>
            <w:r>
              <w:rPr>
                <w:rFonts w:hint="eastAsia" w:ascii="宋体" w:hAnsi="宋体" w:cs="宋体"/>
                <w:szCs w:val="21"/>
                <w:highlight w:val="none"/>
              </w:rPr>
              <w:t>持续推进</w:t>
            </w:r>
          </w:p>
        </w:tc>
      </w:tr>
    </w:tbl>
    <w:p>
      <w:pPr>
        <w:keepNext w:val="0"/>
        <w:keepLines w:val="0"/>
        <w:pageBreakBefore w:val="0"/>
        <w:widowControl w:val="0"/>
        <w:kinsoku/>
        <w:wordWrap/>
        <w:overflowPunct/>
        <w:topLinePunct w:val="0"/>
        <w:autoSpaceDE/>
        <w:autoSpaceDN/>
        <w:bidi w:val="0"/>
        <w:spacing w:line="592" w:lineRule="exact"/>
        <w:jc w:val="center"/>
        <w:rPr>
          <w:rFonts w:hint="eastAsia" w:ascii="宋体" w:hAnsi="宋体" w:eastAsia="方正小标宋_GBK" w:cs="方正小标宋_GBK"/>
          <w:bCs/>
          <w:kern w:val="0"/>
          <w:sz w:val="44"/>
          <w:szCs w:val="44"/>
          <w:highlight w:val="none"/>
        </w:rPr>
        <w:sectPr>
          <w:footerReference r:id="rId7" w:type="default"/>
          <w:pgSz w:w="16838" w:h="11906" w:orient="landscape"/>
          <w:pgMar w:top="1417" w:right="1417" w:bottom="1417" w:left="1417" w:header="851" w:footer="1304" w:gutter="0"/>
          <w:pgNumType w:fmt="decimal" w:start="48"/>
          <w:cols w:space="720" w:num="1"/>
          <w:docGrid w:type="lines" w:linePitch="324" w:charSpace="0"/>
        </w:sectPr>
      </w:pP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济源产城融合示范区</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简体" w:cs="方正小标宋简体"/>
          <w:sz w:val="44"/>
          <w:szCs w:val="44"/>
          <w:highlight w:val="none"/>
        </w:rPr>
      </w:pPr>
      <w:r>
        <w:rPr>
          <w:rFonts w:hint="eastAsia" w:ascii="宋体" w:hAnsi="宋体" w:eastAsia="方正小标宋_GBK" w:cs="方正小标宋_GBK"/>
          <w:sz w:val="44"/>
          <w:szCs w:val="44"/>
          <w:highlight w:val="none"/>
        </w:rPr>
        <w:t>2021年土壤污染防治攻坚战实施方案</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方正小标宋简体" w:cs="方正小标宋简体"/>
          <w:sz w:val="44"/>
          <w:szCs w:val="44"/>
          <w:highlight w:val="none"/>
        </w:rPr>
      </w:pP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2021年是“十四五”规划开局之年，是全省建成“四个强省、一个高地、一个家园”现代化河南的起始之年。为持续深入打好土壤污染防治攻坚战，切实加强土壤生态环境保护，根据《河南省2021年土壤污染防治攻坚战实施方案》要求，结合济源实际，制定本方案。</w:t>
      </w:r>
    </w:p>
    <w:p>
      <w:pPr>
        <w:keepNext w:val="0"/>
        <w:keepLines w:val="0"/>
        <w:pageBreakBefore w:val="0"/>
        <w:widowControl w:val="0"/>
        <w:kinsoku/>
        <w:wordWrap/>
        <w:overflowPunct/>
        <w:topLinePunct w:val="0"/>
        <w:autoSpaceDE/>
        <w:autoSpaceDN/>
        <w:bidi w:val="0"/>
        <w:spacing w:line="592" w:lineRule="exact"/>
        <w:ind w:firstLine="640" w:firstLineChars="200"/>
        <w:rPr>
          <w:rFonts w:ascii="宋体" w:hAnsi="宋体" w:eastAsia="黑体"/>
          <w:b w:val="0"/>
          <w:bCs/>
          <w:sz w:val="32"/>
          <w:szCs w:val="32"/>
          <w:highlight w:val="none"/>
        </w:rPr>
      </w:pPr>
      <w:r>
        <w:rPr>
          <w:rFonts w:hint="eastAsia" w:ascii="宋体" w:hAnsi="宋体" w:eastAsia="黑体"/>
          <w:b w:val="0"/>
          <w:bCs/>
          <w:sz w:val="32"/>
          <w:szCs w:val="32"/>
          <w:highlight w:val="none"/>
        </w:rPr>
        <w:t>一、工作目标</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确保土壤环境质量总体保持稳定，土壤环境风险得到管控，土壤污染防治体系基本完善。受污染耕地安全利用率保持100%，污染地块安全利用率保持100%。</w:t>
      </w:r>
    </w:p>
    <w:p>
      <w:pPr>
        <w:keepNext w:val="0"/>
        <w:keepLines w:val="0"/>
        <w:pageBreakBefore w:val="0"/>
        <w:widowControl w:val="0"/>
        <w:kinsoku/>
        <w:wordWrap/>
        <w:overflowPunct/>
        <w:topLinePunct w:val="0"/>
        <w:autoSpaceDE/>
        <w:autoSpaceDN/>
        <w:bidi w:val="0"/>
        <w:spacing w:line="592" w:lineRule="exact"/>
        <w:ind w:firstLine="640" w:firstLineChars="200"/>
        <w:rPr>
          <w:rFonts w:ascii="宋体" w:hAnsi="宋体" w:eastAsia="黑体"/>
          <w:b w:val="0"/>
          <w:bCs/>
          <w:sz w:val="32"/>
          <w:szCs w:val="32"/>
          <w:highlight w:val="none"/>
        </w:rPr>
      </w:pPr>
      <w:r>
        <w:rPr>
          <w:rFonts w:hint="eastAsia" w:ascii="宋体" w:hAnsi="宋体" w:eastAsia="黑体"/>
          <w:b w:val="0"/>
          <w:bCs/>
          <w:sz w:val="32"/>
          <w:szCs w:val="32"/>
          <w:highlight w:val="none"/>
        </w:rPr>
        <w:t>二、主要任务</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（一）全面完成重点行业企业用地调查成果集成工作</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1.在企业用地调查成果基础上，以项目建设为抓手，深入开展设施农用地土壤污染状况调查，道地药材基地土壤污染状况调查等典型行业企业土壤污染试点调查工作，初步了解农业投入品对农用地的污染状况和道地药材基地土壤中重金属的污染状况。（示范区生态环境局牵头，示范区自然资源和规划局、农业农村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（二）开展平原区域地下水环境状况调查</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2.按照地下水环境状况调查评价相关技术指南和要求，对平原区域地下水源地补给径流区地下水环境状况开展初步调查，对相关工作区地下水环境背景资料、地下水水源地环境状况基础资料进行收集，对有色金属冶炼、化工、制药、电镀、黑色金属冶炼等土壤重点监管行业企业进行现场踏勘，识别区域污染源特征，初步掌握工作区地下水污染类型、污染状况和污染物来源等，建立工作清单，编制“双源”分布图。重点调查化工园区、工业园区、循环产业园和大型企业所处地下水水文地质单元、地下水动力学特征及其对地下水中污染物迁移的潜在影响，编制地下水专项报告和专章，为下一步地下水环境状况详细调查和污染风险防控提供科学依据。（示范区生态环境局牵头，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（三）分类实施土壤污染源头防治</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3.严格控制涉重金属企业污染物排放。聚焦重有色金属采选、冶炼等重点行业，开展企业绿色提标改造，全面执行颗粒物重点污染物特别排放限值，进一步严格颗粒物排放控制要求。将涉镉等重金属行业企业纳入大气、水污染物重点排污单位名录，企业全面安装、使用水、大气污染物排放自动监测设备，对大气颗粒物排放、废水中镉等重金属排放实行自动监测，并按照有关规定与生态环境主管部门的数据平台联网；以监测数据核算颗粒物、重金属等排放量，并依法纳入执行报告，上报全国排污许可证管理信息平台并公开。2021年底前完成耕地周边（原则上平原地区周边10公里之内，山区、丘陵地区可适当缩减）涉镉等重金属行业企业排查，及时更新污染源排查整治清单。坚持边排查边整治，2022年底前完成整治任务。（示范区生态环境局牵头，相关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4.防控矿产资源开发污染土壤。监督指导采矿权人履行矿山地质环境恢复治理义务，预防和减少矿业活动对生态环境的污染破坏。将绿色矿业发展示范区建设与工矿废弃地复垦利用、矿山地质环境治理恢复、矿区土壤污染治理、土地整治等工作统筹推进，适用相关试点和支持政策。要因地制宜管控矿区污染土壤和酸性废水环境风险，综合整治重有色金属矿区污染，重点保障农业生产和生活用水安全，鼓励采取自然恢复等措施。（示范区自然资源和规划局牵头，示范区生态环境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监督尾矿库运营、管理单位履行防治土壤污染的法定义务，防止发生可能污染土壤的事故。（示范区应急管理局牵头，示范区生态环境局参与，相关镇人民政府配合）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加强对尾矿库土壤污染防治情况的监督检查和定期评估，发现环境风险隐患的，及时督促尾矿库运营、管理单位采取相应措施。（示范区生态环境局牵头，示范区应急管理局参与，相关镇人民政府配合）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5.加大农业面源污染防治力度。坚持绿色农业发展，积极推进农药化肥使用量负增长行动，持续实施减量，提高利用率。加强农药包装废弃物和废弃农膜回收处理，持续推进省定农药包装废弃物回收处理试点任务，力争实现农药包装废弃物全面回收利用。（示范区生态环境局牵头，示范区农业农村局、发展改革和统计局、财政金融局、市场监督管理局、</w:t>
      </w:r>
      <w:r>
        <w:rPr>
          <w:rFonts w:hint="eastAsia" w:ascii="宋体" w:hAnsi="宋体" w:eastAsia="仿宋_GB2312"/>
          <w:b w:val="0"/>
          <w:bCs/>
          <w:sz w:val="32"/>
          <w:szCs w:val="32"/>
          <w:highlight w:val="none"/>
          <w:lang w:eastAsia="zh-CN"/>
        </w:rPr>
        <w:t>市</w:t>
      </w:r>
      <w:r>
        <w:rPr>
          <w:rFonts w:hint="eastAsia" w:ascii="宋体" w:hAnsi="宋体" w:eastAsia="仿宋_GB2312"/>
          <w:b w:val="0"/>
          <w:bCs/>
          <w:sz w:val="32"/>
          <w:szCs w:val="32"/>
          <w:highlight w:val="none"/>
        </w:rPr>
        <w:t>供销</w:t>
      </w:r>
      <w:r>
        <w:rPr>
          <w:rFonts w:hint="eastAsia" w:ascii="宋体" w:hAnsi="宋体" w:eastAsia="仿宋_GB2312"/>
          <w:b w:val="0"/>
          <w:bCs/>
          <w:sz w:val="32"/>
          <w:szCs w:val="32"/>
          <w:highlight w:val="none"/>
          <w:lang w:eastAsia="zh-CN"/>
        </w:rPr>
        <w:t>合作</w:t>
      </w:r>
      <w:r>
        <w:rPr>
          <w:rFonts w:hint="eastAsia" w:ascii="宋体" w:hAnsi="宋体" w:eastAsia="仿宋_GB2312"/>
          <w:b w:val="0"/>
          <w:bCs/>
          <w:sz w:val="32"/>
          <w:szCs w:val="32"/>
          <w:highlight w:val="none"/>
        </w:rPr>
        <w:t>社参与，相关片区管理办公室、镇人民政府、街道办事处配合）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强化畜禽养殖污染防治。积极推进种养结合和畜禽粪污资源化利用。（示范区农业农村局牵头，示范区发展改革和统计局、财政金融局、生态环境局参与，相关片区管理办公室、镇人民政府、街道办事处配合）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严格规模养殖环境监管，对无证排污、不按证排污、污染防治设施配套不到位、粪污未经无害化处理直接还田或向环境排放，不符合国家和地方排放标准的，要依法查处。加强规模以下养殖户畜禽污染防治，在散养密集区推广典型治理模式。（示范区生态环境局牵头，示范区农业农村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加强农业面源污染防治监管指导。开展农业面源污染调查监测，逐步开展农业面源污染评估，加强农业面源污染观测，建设农业面源污染监管平台。（示范区生态环境局、农业农村局按职责分工负责，示范区发展改革和统计局、财政金融局、市场监督管理局、</w:t>
      </w:r>
      <w:r>
        <w:rPr>
          <w:rFonts w:hint="eastAsia" w:ascii="宋体" w:hAnsi="宋体" w:eastAsia="仿宋_GB2312"/>
          <w:b w:val="0"/>
          <w:bCs/>
          <w:sz w:val="32"/>
          <w:szCs w:val="32"/>
          <w:highlight w:val="none"/>
          <w:lang w:eastAsia="zh-CN"/>
        </w:rPr>
        <w:t>市</w:t>
      </w:r>
      <w:r>
        <w:rPr>
          <w:rFonts w:hint="eastAsia" w:ascii="宋体" w:hAnsi="宋体" w:eastAsia="仿宋_GB2312"/>
          <w:b w:val="0"/>
          <w:bCs/>
          <w:sz w:val="32"/>
          <w:szCs w:val="32"/>
          <w:highlight w:val="none"/>
        </w:rPr>
        <w:t>供销</w:t>
      </w:r>
      <w:r>
        <w:rPr>
          <w:rFonts w:hint="eastAsia" w:ascii="宋体" w:hAnsi="宋体" w:eastAsia="仿宋_GB2312"/>
          <w:b w:val="0"/>
          <w:bCs/>
          <w:sz w:val="32"/>
          <w:szCs w:val="32"/>
          <w:highlight w:val="none"/>
          <w:lang w:eastAsia="zh-CN"/>
        </w:rPr>
        <w:t>合作</w:t>
      </w:r>
      <w:r>
        <w:rPr>
          <w:rFonts w:hint="eastAsia" w:ascii="宋体" w:hAnsi="宋体" w:eastAsia="仿宋_GB2312"/>
          <w:b w:val="0"/>
          <w:bCs/>
          <w:sz w:val="32"/>
          <w:szCs w:val="32"/>
          <w:highlight w:val="none"/>
        </w:rPr>
        <w:t>社参与，相关片区管理办公室、镇人民政府、街道办事处配合）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6.建立土壤生态环境长期观测研究基地。按照省定要求分期、分批建立长期观测研究基地，重点对土壤环境状况、重金属输入输出以及土壤生态开展监测，识别和排查污染成因，为精准管控污染源，以及评估耕地污染源管控成效与耕地土壤重金属污染趋势，探索耕地土壤污染预警技术提供数据支撑。（示范区生态环境局牵头，示范区农业农村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（四）防范工矿企业用地新增土壤污染</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7.严格建设项目土壤环境影响评价制度。对涉及有毒有害物质可能造成土壤污染的新（改、扩）建项目，依法进行环境影响评价，提出并落实防腐蚀、防渗漏、防遗撒等土壤污染防治具体措施。针对相关重点行业提出有关防腐蚀、防泄漏设施和泄漏监测装置的设计、建设和安装要求。（示范区生态环境局牵头，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8.推动实施绿色化改造。推进工业绿色升级，加快实施钢铁、石化、化工、有色、皮革等行业绿色化改造。鼓励土壤污染重点监管单位因地制宜实施管道化、密闭化改造，重点区域防腐防渗改造；以及物料、污水、废气管线架空建设和改造，从源头上防范土壤污染。（示范区生态环境局牵头，示范区工业和科技创新委员会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9.强化重点监管单位管理。根据典型行业有毒有害物质排放腾退地块土壤污染情况、重点行业企业用地土壤污染状况调查结果，将相关行业企业纳入土壤污染重点监管单位名录。完成土壤污染重点监管单位名录更新工作，并向社会公开。督促土壤污染重点监管单位全面落实土壤污染防治义务，依法纳入排污许可管理。2021年底前，自行监测率达到100%，完成1次土壤和地下水污染隐患排查，制定整改方案和台账并落实。全年完成1次土壤污染重点监管单位周边土壤监测。排污许可证载明土壤污染防治义务完成率稳步提高。（示范区生态环境局牵头，示范区工业和科技创新委</w:t>
      </w:r>
      <w:r>
        <w:rPr>
          <w:rFonts w:ascii="宋体" w:hAnsi="宋体" w:eastAsia="仿宋_GB2312"/>
          <w:b w:val="0"/>
          <w:bCs/>
          <w:sz w:val="32"/>
          <w:szCs w:val="32"/>
          <w:highlight w:val="none"/>
        </w:rPr>
        <w:t>员会</w:t>
      </w:r>
      <w:r>
        <w:rPr>
          <w:rFonts w:hint="eastAsia" w:ascii="宋体" w:hAnsi="宋体" w:eastAsia="仿宋_GB2312"/>
          <w:b w:val="0"/>
          <w:bCs/>
          <w:sz w:val="32"/>
          <w:szCs w:val="32"/>
          <w:highlight w:val="none"/>
        </w:rPr>
        <w:t>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10.严格</w:t>
      </w:r>
      <w:r>
        <w:rPr>
          <w:rFonts w:ascii="宋体" w:hAnsi="宋体" w:eastAsia="仿宋_GB2312"/>
          <w:b w:val="0"/>
          <w:bCs/>
          <w:sz w:val="32"/>
          <w:szCs w:val="32"/>
          <w:highlight w:val="none"/>
        </w:rPr>
        <w:t>企业拆除活动</w:t>
      </w:r>
      <w:r>
        <w:rPr>
          <w:rFonts w:hint="eastAsia" w:ascii="宋体" w:hAnsi="宋体" w:eastAsia="仿宋_GB2312"/>
          <w:b w:val="0"/>
          <w:bCs/>
          <w:sz w:val="32"/>
          <w:szCs w:val="32"/>
          <w:highlight w:val="none"/>
        </w:rPr>
        <w:t>管理</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有色金属冶炼、铅酸蓄电池、石油加工、化工、电镀、制革和危险化学品生产、储存、使用等企业在拆除生产设施设备、污染治理设施时，要按照国家企业拆除活动污染防治的技术规定，事先制定残留污染物清理和安全处置方案，并报生态环境、工业和科技创新委</w:t>
      </w:r>
      <w:r>
        <w:rPr>
          <w:rFonts w:ascii="宋体" w:hAnsi="宋体" w:eastAsia="仿宋_GB2312"/>
          <w:b w:val="0"/>
          <w:bCs/>
          <w:sz w:val="32"/>
          <w:szCs w:val="32"/>
          <w:highlight w:val="none"/>
        </w:rPr>
        <w:t>员会</w:t>
      </w:r>
      <w:r>
        <w:rPr>
          <w:rFonts w:hint="eastAsia" w:ascii="宋体" w:hAnsi="宋体" w:eastAsia="仿宋_GB2312"/>
          <w:b w:val="0"/>
          <w:bCs/>
          <w:sz w:val="32"/>
          <w:szCs w:val="32"/>
          <w:highlight w:val="none"/>
        </w:rPr>
        <w:t>等部门备案并技术评审；在拆除上述建筑物、构筑物时，要先进行环境风险评估，如发现建筑物中含有毒有害废物，要向生态环境、住房和城乡建设部门报告，并由具备相应处置资质的单位进行无害化处置。（示范区生态环境局牵头，示范区工业和科技创新委</w:t>
      </w:r>
      <w:r>
        <w:rPr>
          <w:rFonts w:ascii="宋体" w:hAnsi="宋体" w:eastAsia="仿宋_GB2312"/>
          <w:b w:val="0"/>
          <w:bCs/>
          <w:sz w:val="32"/>
          <w:szCs w:val="32"/>
          <w:highlight w:val="none"/>
        </w:rPr>
        <w:t>员会</w:t>
      </w:r>
      <w:r>
        <w:rPr>
          <w:rFonts w:hint="eastAsia" w:ascii="宋体" w:hAnsi="宋体" w:eastAsia="仿宋_GB2312"/>
          <w:b w:val="0"/>
          <w:bCs/>
          <w:sz w:val="32"/>
          <w:szCs w:val="32"/>
          <w:highlight w:val="none"/>
        </w:rPr>
        <w:t>、住房和城乡建设局参与，相关片区管理办公室、镇人民政府、街道办事处配合）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（五）巩固提升耕地分类管理</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11.实施严格耕地保护。</w:t>
      </w:r>
      <w:r>
        <w:rPr>
          <w:rFonts w:hint="eastAsia" w:ascii="宋体" w:hAnsi="宋体" w:eastAsia="仿宋_GB2312"/>
          <w:b w:val="0"/>
          <w:bCs/>
          <w:sz w:val="32"/>
          <w:szCs w:val="32"/>
          <w:highlight w:val="none"/>
        </w:rPr>
        <w:t>坚持最严格的耕地保护制度，强化国土空间规划和用途管控，落实基本农田管控边界。依据土壤污染防治法开展永久基本农田集中区域划定试点，在永久基本农田集中区域，不得规划新建可能造成土壤污染的建设项目。加大优先保护类耕地保护力度，确保其面积不减少、土壤环境质量不下降。自然资源主管部门批准土地复垦方案前，应当对拟复垦土地开展土壤污染状况调查，符合农用地土壤污染风险管控标准的，方可批准复垦。加强对未利用地（林地、草地</w:t>
      </w:r>
      <w:r>
        <w:rPr>
          <w:rFonts w:hint="eastAsia" w:ascii="宋体" w:hAnsi="宋体" w:eastAsia="仿宋_GB2312"/>
          <w:b w:val="0"/>
          <w:bCs/>
          <w:sz w:val="32"/>
          <w:szCs w:val="32"/>
          <w:highlight w:val="none"/>
          <w:lang w:eastAsia="zh-CN"/>
        </w:rPr>
        <w:t>、</w:t>
      </w:r>
      <w:r>
        <w:rPr>
          <w:rFonts w:hint="eastAsia" w:ascii="宋体" w:hAnsi="宋体" w:eastAsia="仿宋_GB2312"/>
          <w:b w:val="0"/>
          <w:bCs/>
          <w:sz w:val="32"/>
          <w:szCs w:val="32"/>
          <w:highlight w:val="none"/>
        </w:rPr>
        <w:t>饮用水水源地和自然保护区等）管理保护，明确标准要求。（示范区自然资源和规划局牵头，示范区发展改革和统计局、财政金融局、生态环境局、农业农村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加强农业投入品质量监管，从严查处向农田施用不达标肥料等农业投入品的行为。（示范区农业农村局牵头，示范区生态环境局、市场监督管理局参与，相关片区管理办公室、镇人民政府、街道办事处配合）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12.巩固安全利用成效。</w:t>
      </w:r>
      <w:r>
        <w:rPr>
          <w:rFonts w:hint="eastAsia" w:ascii="宋体" w:hAnsi="宋体" w:eastAsia="仿宋_GB2312"/>
          <w:b w:val="0"/>
          <w:bCs/>
          <w:sz w:val="32"/>
          <w:szCs w:val="32"/>
          <w:highlight w:val="none"/>
        </w:rPr>
        <w:t>充分运用土壤环境质量类别划分成果，依法实施分类管理。总结耕地安全利用与修复技术模式，不断调整优化、推广应用品种替代、水肥调控、生理阻隔、土壤调理等技术，接受省安全利用耕地专家指导组的技术指导和培训，确保安全利用类耕地</w:t>
      </w:r>
      <w:r>
        <w:rPr>
          <w:rFonts w:hint="eastAsia" w:ascii="宋体" w:hAnsi="宋体" w:eastAsia="仿宋_GB2312"/>
          <w:b w:val="0"/>
          <w:bCs/>
          <w:sz w:val="32"/>
          <w:szCs w:val="32"/>
          <w:highlight w:val="none"/>
          <w:lang w:eastAsia="zh-CN"/>
        </w:rPr>
        <w:t>面积</w:t>
      </w:r>
      <w:r>
        <w:rPr>
          <w:rFonts w:hint="eastAsia" w:ascii="宋体" w:hAnsi="宋体" w:eastAsia="仿宋_GB2312"/>
          <w:b w:val="0"/>
          <w:bCs/>
          <w:sz w:val="32"/>
          <w:szCs w:val="32"/>
          <w:highlight w:val="none"/>
        </w:rPr>
        <w:t>达到省定要求。（示范区农业农村局牵头，示范区工业和科技创新委员会、财政金融局、生态环境局、发展改革和统计局参与，相关片区管理办公室、镇人民政府、街道办事处配合）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13.全面落实严格管控。</w:t>
      </w:r>
      <w:r>
        <w:rPr>
          <w:rFonts w:hint="eastAsia" w:ascii="宋体" w:hAnsi="宋体" w:eastAsia="仿宋_GB2312"/>
          <w:b w:val="0"/>
          <w:bCs/>
          <w:sz w:val="32"/>
          <w:szCs w:val="32"/>
          <w:highlight w:val="none"/>
        </w:rPr>
        <w:t>对严格管控类耕地地块，采取种植结构调整、退耕还林还草等风险管控措施，严禁种植食用农产品，并给予相应的政策支持，确保省定严格管控类耕地得到安全利用。探索开展严格管控类耕地种植结构调整或退耕还林还草等措施实施情况监测评估。（示范区农业农村局牵头，示范区财政金融局、自然资源和规划局、生态环境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b w:val="0"/>
          <w:bCs/>
          <w:sz w:val="32"/>
          <w:szCs w:val="32"/>
          <w:highlight w:val="none"/>
        </w:rPr>
        <w:t>将列入严格管控类且无法恢复治理的耕地进行整改补划，并对粮食生产功能区和重要农产品保护区进行相应调整。（示范区农业农村局牵头，示范区财政金融局、生态环境局、自然资源和规划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14.严禁重金属超标粮食进入口粮市场。</w:t>
      </w:r>
      <w:r>
        <w:rPr>
          <w:rFonts w:hint="eastAsia" w:ascii="宋体" w:hAnsi="宋体" w:eastAsia="仿宋_GB2312"/>
          <w:b w:val="0"/>
          <w:bCs/>
          <w:sz w:val="32"/>
          <w:szCs w:val="32"/>
          <w:highlight w:val="none"/>
        </w:rPr>
        <w:t>加强超标粮食处置，强化对粮食收购和加工企业的监管，督促开展收购粮食的重金属检测，对于超标的，专仓收储，严格管理，未经无害处理，严禁流入口粮市场。对市场中流通的粮食，加大抽检力度，发现问题及时处理，坚决防范重金属超标粮食进入口粮市场。（示范区发展改革和统计局牵头，示范区生态环境局、农业农村局、市场监督管理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15.动态调整耕地土壤环境质量类别。</w:t>
      </w:r>
      <w:r>
        <w:rPr>
          <w:rFonts w:hint="eastAsia" w:ascii="宋体" w:hAnsi="宋体" w:eastAsia="仿宋_GB2312"/>
          <w:b w:val="0"/>
          <w:bCs/>
          <w:sz w:val="32"/>
          <w:szCs w:val="32"/>
          <w:highlight w:val="none"/>
        </w:rPr>
        <w:t>根据土壤环境质量例行监测、农用地重点地块监测、农产品检测、治理修复效果评估等，动态调整土壤环境质量类别，并将清单上传全国土壤环境信息化管理平台。不鼓励曾用于生产、使用、贮存、回收、处置有毒有害物质的工矿用地复垦为食用农产品耕地；确需复垦为食用农产品耕地的，应确保农用地风险管控标准之外的特征污染物不超过所在地土壤环境背景值，并依法进行分类管理，加强重点监测。（示范区生态环境局牵头，示范区农业农村局、自然资源和规划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仿宋_GB2312" w:cs="宋体"/>
          <w:b w:val="0"/>
          <w:bCs/>
          <w:kern w:val="0"/>
          <w:sz w:val="32"/>
          <w:szCs w:val="32"/>
          <w:highlight w:val="none"/>
        </w:rPr>
        <w:t>16.落实耕地土壤污染预警制度。</w:t>
      </w:r>
      <w:r>
        <w:rPr>
          <w:rFonts w:hint="eastAsia" w:ascii="宋体" w:hAnsi="宋体" w:eastAsia="仿宋_GB2312"/>
          <w:b w:val="0"/>
          <w:bCs/>
          <w:sz w:val="32"/>
          <w:szCs w:val="32"/>
          <w:highlight w:val="none"/>
        </w:rPr>
        <w:t>贯彻落实《河南省耕地土壤污染预警工作方案》《2021年度河南省耕地土壤污染防治预警监测工作实施方案》，按照“监测-预判-处置”的思路，以污染高风险区域耕地土壤为重点，按省定要求布设耕地预警监测点位，建立预警体系，有效管控耕地土壤环境风险。（示范区生态环境局、农业农村局牵头</w:t>
      </w:r>
      <w:r>
        <w:rPr>
          <w:rFonts w:ascii="宋体" w:hAnsi="宋体" w:eastAsia="仿宋_GB2312"/>
          <w:b w:val="0"/>
          <w:bCs/>
          <w:sz w:val="32"/>
          <w:szCs w:val="32"/>
          <w:highlight w:val="none"/>
        </w:rPr>
        <w:t>）</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（六）严格建设用地准入管理</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17.开</w:t>
      </w:r>
      <w:r>
        <w:rPr>
          <w:rFonts w:ascii="宋体" w:hAnsi="宋体" w:eastAsia="仿宋_GB2312"/>
          <w:b w:val="0"/>
          <w:bCs/>
          <w:sz w:val="32"/>
          <w:szCs w:val="30"/>
          <w:highlight w:val="none"/>
        </w:rPr>
        <w:t>展</w:t>
      </w:r>
      <w:r>
        <w:rPr>
          <w:rFonts w:hint="eastAsia" w:ascii="宋体" w:hAnsi="宋体" w:eastAsia="仿宋_GB2312"/>
          <w:b w:val="0"/>
          <w:bCs/>
          <w:sz w:val="32"/>
          <w:szCs w:val="30"/>
          <w:highlight w:val="none"/>
        </w:rPr>
        <w:t>土壤污染状况</w:t>
      </w:r>
      <w:r>
        <w:rPr>
          <w:rFonts w:ascii="宋体" w:hAnsi="宋体" w:eastAsia="仿宋_GB2312"/>
          <w:b w:val="0"/>
          <w:bCs/>
          <w:sz w:val="32"/>
          <w:szCs w:val="30"/>
          <w:highlight w:val="none"/>
        </w:rPr>
        <w:t>调查评估。</w:t>
      </w:r>
      <w:r>
        <w:rPr>
          <w:rFonts w:hint="eastAsia" w:ascii="宋体" w:hAnsi="宋体" w:eastAsia="仿宋_GB2312"/>
          <w:b w:val="0"/>
          <w:bCs/>
          <w:sz w:val="32"/>
          <w:szCs w:val="32"/>
          <w:highlight w:val="none"/>
        </w:rPr>
        <w:t>以用途变更为住宅、公共管理与公共服务用地的地块，及腾退工矿企业用地为重点，依法开展土壤污染状况调查和风险评估；优先对重点行业企业用地调查查明的潜在高风险地块，开展进一步调查和风险评估。充分发挥环境大数据辅助监管的作用，对注销、撤销排污许可证企业，及时纳入监管视野，防止腾退地块游离于监管之外。鼓励对列入年度建设用地供应计划的地块，因地制宜适当提前开展土壤污染状况调查，化解建设用地土壤污染风险管控和修复与土地开发进度之间的矛盾。自然资源部门在土地征收、收回、收购以及转让、改变用途等环节，商生态环境部门依法督促相关单位调查并上报土壤污染状况。（示范区自然资源和规划局、生态环境局牵头）</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18.合理规划污染地块用途。</w:t>
      </w:r>
      <w:r>
        <w:rPr>
          <w:rFonts w:hint="eastAsia" w:ascii="宋体" w:hAnsi="宋体" w:eastAsia="仿宋_GB2312"/>
          <w:b w:val="0"/>
          <w:bCs/>
          <w:sz w:val="32"/>
          <w:szCs w:val="32"/>
          <w:highlight w:val="none"/>
        </w:rPr>
        <w:t>编制国土空间规划等相关规划时，应充分考虑建设用地土壤污染的环境风险，合理确定其土地用途。农药、化工等行业中的重度污染地块原则上不得规划为住宅、学校、养老机构等敏感用地。原则上，国土空间规划方案提交审议前，对涉及依法应当开展土壤污染状况调查的地块，应当完成调查和风险评估；规划方案已审议但未报批的，应在规划方案和供地方案报批前完成调查和风险评估；供地方案已报批的，应在签订土地出让合同前完成调查和风险评估。（示范区自然资源和规划局牵头，示范区生态环境局参与）</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19.因地制宜严格污染地块准入管理。</w:t>
      </w:r>
      <w:r>
        <w:rPr>
          <w:rFonts w:hint="eastAsia" w:ascii="宋体" w:hAnsi="宋体" w:eastAsia="仿宋_GB2312"/>
          <w:b w:val="0"/>
          <w:bCs/>
          <w:sz w:val="32"/>
          <w:szCs w:val="32"/>
          <w:highlight w:val="none"/>
        </w:rPr>
        <w:t>列入建设用地土壤污染风险管控和修复名录的地块，不得作为住宅、公共管理与公共服务用地。未达到土壤污染风险评估报告确定的风险管控、修复目标的建设用地地块，禁止开工建设任何与风险管控、修复无关的项目。依法应当开展土壤污染状况调查或风险评估而未开展或尚未完成调查评估的土壤污染风险不明地块，杜绝进入用地程序。完善准入管理机制，采取“净土收储”“净土供应”“净土开发”或“环境修复+开发建设”等模式，严格污染地块用途管制，落实准入管理要求。（示范区自然资源和规划局、生态环境局牵头）</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20.合理确定土地开发和使用时序。</w:t>
      </w:r>
      <w:r>
        <w:rPr>
          <w:rFonts w:hint="eastAsia" w:ascii="宋体" w:hAnsi="宋体" w:eastAsia="仿宋_GB2312"/>
          <w:b w:val="0"/>
          <w:bCs/>
          <w:sz w:val="32"/>
          <w:szCs w:val="32"/>
          <w:highlight w:val="none"/>
        </w:rPr>
        <w:t>涉及成片污染地块分期分批开发的，以及污染地块周边土地开发的，要优化开发时序，防止受污染土壤及其后续风险管控和修复影响周边拟入住敏感人群，并防止引发负面舆情。原则上，居住、学校、养老机构等用地在毗邻地块土壤污染风险管控和修复完成后再投入使用。（示范区自然资源和规划局、生态环境局牵头）</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21.强化部门信息共享和联动监管。</w:t>
      </w:r>
      <w:r>
        <w:rPr>
          <w:rFonts w:hint="eastAsia" w:ascii="宋体" w:hAnsi="宋体" w:eastAsia="仿宋_GB2312"/>
          <w:b w:val="0"/>
          <w:bCs/>
          <w:sz w:val="32"/>
          <w:szCs w:val="32"/>
          <w:highlight w:val="none"/>
        </w:rPr>
        <w:t>制定污染地块空间信息规范化格式技术要求</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建立污染地块数据库及信息平台，共享疑似污染地块及污染地块空间信息（用途变更为住宅、公共管理与公共服务用地的地块信息；土壤污染重点监管单位生产经营用地用途变更或土地使用权收回、转让信息；涉及疑似污染地块、污染地块国土空间规划等相关信息）。将污染地块空间信息叠加至国土空间规划的“一张图”。完善部门联动监管机制，防止污染地块未开展或未完成土壤污染风险管控和修复，即投入开发建设；鼓励利用卫星遥感、无人机、视频监控等手段开展非现场检查。（示范区自然资源和规划局、生态环境局牵头，示范区住房和城乡建设局参与）</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22.做好暂不开发利用污染地块管理。</w:t>
      </w:r>
      <w:r>
        <w:rPr>
          <w:rFonts w:hint="eastAsia" w:ascii="宋体" w:hAnsi="宋体" w:eastAsia="仿宋_GB2312"/>
          <w:b w:val="0"/>
          <w:bCs/>
          <w:sz w:val="32"/>
          <w:szCs w:val="32"/>
          <w:highlight w:val="none"/>
        </w:rPr>
        <w:t>对列入污染地块名录的地块，向社会公开地块信息，通报各污染地块所在</w:t>
      </w:r>
      <w:r>
        <w:rPr>
          <w:rFonts w:ascii="宋体" w:hAnsi="宋体" w:eastAsia="仿宋_GB2312"/>
          <w:b w:val="0"/>
          <w:bCs/>
          <w:sz w:val="32"/>
          <w:szCs w:val="32"/>
          <w:highlight w:val="none"/>
        </w:rPr>
        <w:t>片区、</w:t>
      </w:r>
      <w:r>
        <w:rPr>
          <w:rFonts w:hint="eastAsia" w:ascii="宋体" w:hAnsi="宋体" w:eastAsia="仿宋_GB2312"/>
          <w:b w:val="0"/>
          <w:bCs/>
          <w:sz w:val="32"/>
          <w:szCs w:val="32"/>
          <w:highlight w:val="none"/>
        </w:rPr>
        <w:t>镇、街道，并督促责任主体及时采取覆盖、移除、封存或者清理污染源等防止污染扩散的风险管控措施。相关风险管控和修复单位及其委托人应当设置公示牌，公开污染地块主要污染物、可能存在的环境风险及采取的治理措施。对暂不开发利用或现阶段不具备治理与修复条件的污染地块，制定污染地块风险管控年度计划</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配合有关部门提出划定管控区域的建议，报人民政府批准后</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设立标识、发布公告。根据调查与风险评估结果，制定差异化措施，实施以防止污染扩散为目的的“一块一策”风险管控措施，加强对风险管控区域现场执法检查。（示范区生态环境局牵头，示范区自然资源和规划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23.加强信息公开。</w:t>
      </w:r>
      <w:r>
        <w:rPr>
          <w:rFonts w:hint="eastAsia" w:ascii="宋体" w:hAnsi="宋体" w:eastAsia="仿宋_GB2312"/>
          <w:b w:val="0"/>
          <w:bCs/>
          <w:sz w:val="32"/>
          <w:szCs w:val="32"/>
          <w:highlight w:val="none"/>
        </w:rPr>
        <w:t>2021年起，在土地收储、出让以及房地产出售等环节，土地使用权人应公开地块原土壤污染状况及污染治理和修复情况。强化土壤污染风险管控、修复项目施工过程，以及暂不开发利用地块风险管控的信息公开。（示范区自然资源和规划局、生态环境局牵头）</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（七）有序推进土壤污染治理修复</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宋体"/>
          <w:b w:val="0"/>
          <w:bCs/>
          <w:kern w:val="0"/>
          <w:sz w:val="32"/>
          <w:szCs w:val="32"/>
          <w:highlight w:val="none"/>
        </w:rPr>
        <w:t>24.提升耕地土壤环境质量。</w:t>
      </w:r>
      <w:r>
        <w:rPr>
          <w:rFonts w:hint="eastAsia" w:ascii="宋体" w:hAnsi="宋体" w:eastAsia="仿宋_GB2312"/>
          <w:b w:val="0"/>
          <w:bCs/>
          <w:sz w:val="32"/>
          <w:szCs w:val="32"/>
          <w:highlight w:val="none"/>
        </w:rPr>
        <w:t>实施耕地质量保护与提升行动，提升土壤有机质。推进耕地土壤污染修复试点，以镉污染耕地为重点，因地制宜选择典型受污染耕地，推进以降低土壤中污染物含量为目的的修复试点工作。（示范区农业农村局牵头，示范区生态环境局参与）</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仿宋_GB2312"/>
          <w:b w:val="0"/>
          <w:bCs/>
          <w:sz w:val="32"/>
          <w:szCs w:val="32"/>
          <w:highlight w:val="none"/>
        </w:rPr>
        <w:t>25.有序推进建设用地土壤污染风险管控和修复。</w:t>
      </w:r>
      <w:r>
        <w:rPr>
          <w:rFonts w:hint="eastAsia" w:ascii="宋体" w:hAnsi="宋体" w:eastAsia="仿宋_GB2312"/>
          <w:b w:val="0"/>
          <w:bCs/>
          <w:sz w:val="32"/>
          <w:szCs w:val="32"/>
          <w:highlight w:val="none"/>
        </w:rPr>
        <w:t>以用途变更为住宅、公共管理与公共服务用地的污染地块为重点，严格落实风险管控和修复。以危险化学品生产企业搬迁改造等专项行动遗留地块为重点，加强腾退土地污染风险管控和治理修复。以金属表面处理及热处理加工、基础化学原料制造、炼焦、专用化学品制造等行业企业为重点，鼓励采用污染阻隔、监测自然衰减等原位风险管控或修复技术，探索在产企业边生产边管控土壤污染风险模式。受污染土壤修复后资源化利用的，不得对土壤和周边环境造成新的污染。对暂不开发的受污染建设用地，实施土壤污染风险管控，防止污染扩散。强化风险管控和修复工程监管，重点防止转运污染土壤非法处置，以及农药类等污染地块风险管控和修复过程中产生的异味等二次污染，确保实现风险管控和修复目标。探索建立污染土壤转运联单制度。针对风险管控地块，通过跟踪监测和现场检查等方式，强化后期管理。建立可操作性强的绿色可持续修复评价体系与评价方法，加强对公众与管理部门的教育培训，对污染土壤治理修复工程开展绿色可持续评价，研究发布对采用绿色可持续修复措施、实现碳减排项目的激励政策，开展污染地块绿色可持续修复试点示范。经评估需开展地下水污染治理的，要协同推进土壤和地下水风险管控和修复。（示范区生态环境局牵头，示范区自然资源和规划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仿宋_GB2312"/>
          <w:b w:val="0"/>
          <w:bCs/>
          <w:sz w:val="32"/>
          <w:szCs w:val="32"/>
          <w:highlight w:val="none"/>
        </w:rPr>
        <w:t>26.推动修复产业健康发展。</w:t>
      </w:r>
      <w:r>
        <w:rPr>
          <w:rFonts w:hint="eastAsia" w:ascii="宋体" w:hAnsi="宋体" w:eastAsia="仿宋_GB2312"/>
          <w:b w:val="0"/>
          <w:bCs/>
          <w:sz w:val="32"/>
          <w:szCs w:val="32"/>
          <w:highlight w:val="none"/>
        </w:rPr>
        <w:t>推动形成若干综合实力雄厚的龙头企业，培育一批“专精特新”的中小企业</w:t>
      </w:r>
      <w:r>
        <w:rPr>
          <w:rFonts w:hint="eastAsia" w:ascii="宋体" w:hAnsi="宋体" w:eastAsia="仿宋_GB2312"/>
          <w:b w:val="0"/>
          <w:bCs/>
          <w:sz w:val="32"/>
          <w:szCs w:val="32"/>
          <w:highlight w:val="none"/>
          <w:lang w:eastAsia="zh-CN"/>
        </w:rPr>
        <w:t>，</w:t>
      </w:r>
      <w:r>
        <w:rPr>
          <w:rFonts w:hint="eastAsia" w:ascii="宋体" w:hAnsi="宋体" w:eastAsia="仿宋_GB2312"/>
          <w:b w:val="0"/>
          <w:bCs/>
          <w:sz w:val="32"/>
          <w:szCs w:val="32"/>
          <w:highlight w:val="none"/>
        </w:rPr>
        <w:t>依法将从事土壤污染风险管控</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修复活动的单位和个人的执业情况，纳入信用系统</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建立信用记录，将违法信息记入社会诚信档案，并纳入全国信用信息共享平台和国家企业信用信息公示系统向社会公布。评审部门将建设用地土壤污染状况调查、风险评估、风险管控效果评估、修复效果评估等报告评审通过情况汇总，并在官网予以公布，鼓励社会选择从业水平高、评审通过率高的单位，淘汰水平不高、评审通过率低的单位，推动从业单位提高水平和能力。（示范区生态环境局牵头，示范区自然资源和规划局参与）</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楷体_GB2312" w:cs="楷体_GB2312"/>
          <w:b w:val="0"/>
          <w:bCs/>
          <w:kern w:val="0"/>
          <w:sz w:val="32"/>
          <w:szCs w:val="32"/>
          <w:highlight w:val="none"/>
        </w:rPr>
      </w:pPr>
      <w:r>
        <w:rPr>
          <w:rFonts w:hint="eastAsia" w:ascii="宋体" w:hAnsi="宋体" w:eastAsia="楷体_GB2312" w:cs="楷体_GB2312"/>
          <w:b w:val="0"/>
          <w:bCs/>
          <w:kern w:val="0"/>
          <w:sz w:val="32"/>
          <w:szCs w:val="32"/>
          <w:highlight w:val="none"/>
        </w:rPr>
        <w:t>（八）全面提升土壤环境监管能力</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仿宋_GB2312"/>
          <w:b w:val="0"/>
          <w:bCs/>
          <w:sz w:val="32"/>
          <w:szCs w:val="32"/>
          <w:highlight w:val="none"/>
        </w:rPr>
        <w:t>27.健全土壤环境监测网络。</w:t>
      </w:r>
      <w:r>
        <w:rPr>
          <w:rFonts w:hint="eastAsia" w:ascii="宋体" w:hAnsi="宋体" w:eastAsia="仿宋_GB2312"/>
          <w:b w:val="0"/>
          <w:bCs/>
          <w:sz w:val="32"/>
          <w:szCs w:val="32"/>
          <w:highlight w:val="none"/>
        </w:rPr>
        <w:t>完善土壤环境监测网，优化调整土壤环境监测点位，开展农产品产地土壤环境监测，完善数据共享机制，建立统一的土壤、地下水与农业农村生态环境监管信息化平台。实施定期监测，完善土壤环境质量例行监测制度。完善土壤与可食用农产品协同监测、大中型灌区水质监测长效机制，为土壤污染防治提供支撑。（示范区生态环境局、水利局、农业农村局按职责分工负责）</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仿宋_GB2312"/>
          <w:b w:val="0"/>
          <w:bCs/>
          <w:sz w:val="32"/>
          <w:szCs w:val="32"/>
          <w:highlight w:val="none"/>
        </w:rPr>
        <w:t>28.加强生态环境执法与应急。</w:t>
      </w:r>
      <w:r>
        <w:rPr>
          <w:rFonts w:hint="eastAsia" w:ascii="宋体" w:hAnsi="宋体" w:eastAsia="仿宋_GB2312"/>
          <w:b w:val="0"/>
          <w:bCs/>
          <w:sz w:val="32"/>
          <w:szCs w:val="32"/>
          <w:highlight w:val="none"/>
        </w:rPr>
        <w:t>依法将土壤生态环境保护相关工作纳入日常执法内容，开展“双随机一公开”执法检查。严厉打击固体废物特别是危险废物非法倾倒或填埋，以及利用渗井、渗坑、裂隙、溶洞等逃避监管的方式向地下排放污染物等行为，对涉嫌污染土壤造成人身或财产损害的线索，及时移送至司法机关；配合开展污染土壤、地下水生态环境损害赔偿调查，落实生态环境损害赔偿制度。提升突发环境事件土壤生态环境保护应急处置能力，各相关单位制定的突发环境事件应急预案应当包括防止土壤和地下水环境污染内容。组织开展监管执法工作培训。鼓励设立土壤生态环境监管技术支撑团队。（示范区生态环境局牵头，示范区自然资源和规划局、农业农村局参与，相关片区管理办公室、镇人民政府、街道办事处配合）</w:t>
      </w:r>
    </w:p>
    <w:p>
      <w:pPr>
        <w:keepNext w:val="0"/>
        <w:keepLines w:val="0"/>
        <w:pageBreakBefore w:val="0"/>
        <w:widowControl w:val="0"/>
        <w:kinsoku/>
        <w:wordWrap/>
        <w:overflowPunct/>
        <w:topLinePunct w:val="0"/>
        <w:autoSpaceDE/>
        <w:autoSpaceDN/>
        <w:bidi w:val="0"/>
        <w:spacing w:line="592" w:lineRule="exact"/>
        <w:ind w:firstLine="640" w:firstLineChars="200"/>
        <w:textAlignment w:val="top"/>
        <w:rPr>
          <w:rFonts w:hint="eastAsia" w:ascii="宋体" w:hAnsi="宋体" w:eastAsia="仿宋_GB2312"/>
          <w:b w:val="0"/>
          <w:bCs/>
          <w:sz w:val="32"/>
          <w:szCs w:val="32"/>
          <w:highlight w:val="none"/>
        </w:rPr>
      </w:pPr>
      <w:r>
        <w:rPr>
          <w:rFonts w:hint="eastAsia" w:ascii="宋体" w:hAnsi="宋体" w:eastAsia="仿宋_GB2312" w:cs="仿宋_GB2312"/>
          <w:b w:val="0"/>
          <w:bCs/>
          <w:sz w:val="32"/>
          <w:szCs w:val="32"/>
          <w:highlight w:val="none"/>
        </w:rPr>
        <w:t>29.强化科技支撑。</w:t>
      </w:r>
      <w:r>
        <w:rPr>
          <w:rFonts w:hint="eastAsia" w:ascii="宋体" w:hAnsi="宋体" w:eastAsia="仿宋_GB2312"/>
          <w:b w:val="0"/>
          <w:bCs/>
          <w:sz w:val="32"/>
          <w:szCs w:val="32"/>
          <w:highlight w:val="none"/>
        </w:rPr>
        <w:t>开展有关土壤污染物生态毒理、污染物在土壤中迁移转化规律、土壤污染风险评估涉及的关键暴露参数等基础研究；开展土壤中铅、砷等污染物生物可利用性测试方法研究和验证；探索建立有关污染物毒理数据可靠性的评审规则和机制，为完善土壤污染风险管控标准，开展土壤污染风险评估提供基础支撑。开展土壤污染累积变化趋势及预测预警方法研究。开展全氟化合物等污染物分析测试、治理修复等技术和方法研究。推进土壤和地下水污染源头预防和管控、污染地块风险管控与治理修复、效果评估、后期管理等共性关键技术研究。推动开展镉等重金属大气污染物排放自动监测设备，地下储罐、管道周边土壤与地下水污染隐患快速检测设备研究。推动先进适用科研成果转化示范推广。（示范区生态环境局、工业和科技创新委</w:t>
      </w:r>
      <w:r>
        <w:rPr>
          <w:rFonts w:ascii="宋体" w:hAnsi="宋体" w:eastAsia="仿宋_GB2312"/>
          <w:b w:val="0"/>
          <w:bCs/>
          <w:sz w:val="32"/>
          <w:szCs w:val="32"/>
          <w:highlight w:val="none"/>
        </w:rPr>
        <w:t>员会</w:t>
      </w:r>
      <w:r>
        <w:rPr>
          <w:rFonts w:hint="eastAsia" w:ascii="宋体" w:hAnsi="宋体" w:eastAsia="仿宋_GB2312"/>
          <w:b w:val="0"/>
          <w:bCs/>
          <w:sz w:val="32"/>
          <w:szCs w:val="32"/>
          <w:highlight w:val="none"/>
        </w:rPr>
        <w:t>牵头，示范区自然资源和规划局、农业农村局参与）</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b w:val="0"/>
          <w:bCs/>
          <w:sz w:val="32"/>
          <w:szCs w:val="32"/>
          <w:highlight w:val="none"/>
        </w:rPr>
      </w:pPr>
      <w:r>
        <w:rPr>
          <w:rFonts w:hint="eastAsia" w:ascii="宋体" w:hAnsi="宋体" w:eastAsia="仿宋_GB2312" w:cs="仿宋_GB2312"/>
          <w:b w:val="0"/>
          <w:bCs/>
          <w:sz w:val="32"/>
          <w:szCs w:val="32"/>
          <w:highlight w:val="none"/>
        </w:rPr>
        <w:t>30.加大资金投入。</w:t>
      </w:r>
      <w:r>
        <w:rPr>
          <w:rFonts w:hint="eastAsia" w:ascii="宋体" w:hAnsi="宋体" w:eastAsia="仿宋_GB2312"/>
          <w:b w:val="0"/>
          <w:bCs/>
          <w:sz w:val="32"/>
          <w:szCs w:val="32"/>
          <w:highlight w:val="none"/>
        </w:rPr>
        <w:t>加大土壤污染防治资金投入，统筹用好中央土壤污染防治专项资金和省</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市级土壤污染防治资金，依靠土壤污染防治专家力量、科技力量，以项目为抓手</w:t>
      </w:r>
      <w:r>
        <w:rPr>
          <w:rFonts w:ascii="宋体" w:hAnsi="宋体" w:eastAsia="仿宋_GB2312"/>
          <w:b w:val="0"/>
          <w:bCs/>
          <w:sz w:val="32"/>
          <w:szCs w:val="32"/>
          <w:highlight w:val="none"/>
        </w:rPr>
        <w:t>，</w:t>
      </w:r>
      <w:r>
        <w:rPr>
          <w:rFonts w:hint="eastAsia" w:ascii="宋体" w:hAnsi="宋体" w:eastAsia="仿宋_GB2312"/>
          <w:b w:val="0"/>
          <w:bCs/>
          <w:sz w:val="32"/>
          <w:szCs w:val="32"/>
          <w:highlight w:val="none"/>
        </w:rPr>
        <w:t>推进土壤污染防治工作。（示范区财政金融局、生态环境局、农业农村局、自然资源和规划局按职责分工负责，相关片区管理办公室、镇人民政府、街道办事处配合）</w:t>
      </w:r>
    </w:p>
    <w:p>
      <w:pPr>
        <w:keepNext w:val="0"/>
        <w:keepLines w:val="0"/>
        <w:pageBreakBefore w:val="0"/>
        <w:widowControl w:val="0"/>
        <w:kinsoku/>
        <w:wordWrap/>
        <w:overflowPunct/>
        <w:topLinePunct w:val="0"/>
        <w:autoSpaceDE/>
        <w:autoSpaceDN/>
        <w:bidi w:val="0"/>
        <w:adjustRightInd w:val="0"/>
        <w:snapToGrid w:val="0"/>
        <w:spacing w:line="592" w:lineRule="exact"/>
        <w:ind w:firstLine="640" w:firstLineChars="200"/>
        <w:rPr>
          <w:rFonts w:hint="eastAsia" w:ascii="宋体" w:hAnsi="宋体" w:eastAsia="仿宋_GB2312"/>
          <w:b w:val="0"/>
          <w:bCs/>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92" w:lineRule="exact"/>
        <w:ind w:left="1598" w:leftChars="304" w:hanging="960" w:hangingChars="300"/>
        <w:rPr>
          <w:rFonts w:hint="eastAsia" w:ascii="宋体" w:hAnsi="宋体" w:eastAsia="仿宋_GB2312"/>
          <w:b w:val="0"/>
          <w:bCs/>
          <w:sz w:val="32"/>
          <w:szCs w:val="32"/>
          <w:highlight w:val="none"/>
        </w:rPr>
        <w:sectPr>
          <w:footerReference r:id="rId8" w:type="default"/>
          <w:pgSz w:w="11906" w:h="16838"/>
          <w:pgMar w:top="1871" w:right="1474" w:bottom="1701" w:left="1587" w:header="851" w:footer="1531" w:gutter="0"/>
          <w:pgNumType w:fmt="decimal" w:start="53"/>
          <w:cols w:space="0" w:num="1"/>
          <w:docGrid w:type="lines" w:linePitch="324" w:charSpace="0"/>
        </w:sectPr>
      </w:pPr>
      <w:r>
        <w:rPr>
          <w:rFonts w:hint="eastAsia" w:ascii="宋体" w:hAnsi="宋体" w:eastAsia="仿宋_GB2312"/>
          <w:b w:val="0"/>
          <w:bCs/>
          <w:sz w:val="32"/>
          <w:szCs w:val="32"/>
          <w:highlight w:val="none"/>
        </w:rPr>
        <w:t>附件：济源产城融合示范区2021年土壤污染防治工作任务分解台账</w:t>
      </w:r>
    </w:p>
    <w:p>
      <w:pPr>
        <w:keepNext w:val="0"/>
        <w:keepLines w:val="0"/>
        <w:pageBreakBefore w:val="0"/>
        <w:widowControl w:val="0"/>
        <w:kinsoku/>
        <w:wordWrap/>
        <w:overflowPunct/>
        <w:topLinePunct w:val="0"/>
        <w:autoSpaceDE/>
        <w:autoSpaceDN/>
        <w:bidi w:val="0"/>
        <w:spacing w:line="700" w:lineRule="exact"/>
        <w:jc w:val="left"/>
        <w:rPr>
          <w:rFonts w:hint="eastAsia" w:ascii="宋体" w:hAnsi="宋体" w:eastAsia="方正小标宋_GBK" w:cs="方正小标宋_GBK"/>
          <w:sz w:val="44"/>
          <w:szCs w:val="44"/>
          <w:highlight w:val="none"/>
        </w:rPr>
      </w:pPr>
      <w:r>
        <w:rPr>
          <w:rFonts w:hint="eastAsia" w:ascii="宋体" w:hAnsi="宋体" w:eastAsia="黑体" w:cs="黑体"/>
          <w:sz w:val="32"/>
          <w:szCs w:val="32"/>
          <w:highlight w:val="none"/>
        </w:rPr>
        <w:t>附</w:t>
      </w:r>
      <w:r>
        <w:rPr>
          <w:rFonts w:hint="eastAsia" w:ascii="宋体" w:hAnsi="宋体" w:eastAsia="黑体" w:cs="黑体"/>
          <w:sz w:val="32"/>
          <w:szCs w:val="32"/>
          <w:highlight w:val="none"/>
          <w:lang w:val="en-US" w:eastAsia="zh-CN"/>
        </w:rPr>
        <w:t xml:space="preserve"> </w:t>
      </w:r>
      <w:r>
        <w:rPr>
          <w:rFonts w:hint="eastAsia" w:ascii="宋体" w:hAnsi="宋体" w:eastAsia="黑体" w:cs="黑体"/>
          <w:sz w:val="32"/>
          <w:szCs w:val="32"/>
          <w:highlight w:val="none"/>
        </w:rPr>
        <w:t>件</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济源产城融合示范区</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2021年土壤污染防治工作任务分解台账</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方正小标宋简体" w:cs="方正小标宋简体"/>
          <w:bCs/>
          <w:kern w:val="4"/>
          <w:sz w:val="44"/>
          <w:szCs w:val="44"/>
          <w:highlight w:val="none"/>
        </w:rPr>
      </w:pPr>
    </w:p>
    <w:tbl>
      <w:tblPr>
        <w:tblStyle w:val="15"/>
        <w:tblW w:w="147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89"/>
        <w:gridCol w:w="2087"/>
        <w:gridCol w:w="6049"/>
        <w:gridCol w:w="1454"/>
        <w:gridCol w:w="2182"/>
        <w:gridCol w:w="22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77" w:hRule="atLeast"/>
          <w:tblHeader/>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序号</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  作  任  务</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具体事项</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负责单位</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配合单位</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工作或时限要求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4"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深入开展重点行业企业用地调查</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全面完成重点行业企业用地调查成果集成工作。在企业用地调查成果基础上，以项目建设为抓手，深入开展设施农用地土壤污染状况调查，道地药材基地土壤污染状况调查等典型行业企业土壤污染试点调查工作，初步了解农业投入品对农用地的污染状况和道地药材基地土壤中重金属的污染状况。</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自然资源和规划局、农业农村局，相关片区管理办公室、镇人民政府、街道办事处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7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开展平原区域地下水环境状况调查</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对平原区域地下水源地补给径流区地下水环境状况开展初步调查，对相关工作区地下水环境背景资料、地下水水源地环境状况基础资料进行收集，对有色金属冶炼、化工、制药、电镀、黑色金属冶炼等土壤重点监管行业企业进行现场踏勘，识别区域污染源特征，初步掌握工作区地下水污染类型、污染状况和污染物来源等，建立工作清单，编制“双源”分布图。重点调查化工园区、工业园区、循环产业园和大型企业所处地下水水文地质单元、地下水动力学特征及其对地下水中污染物迁移的潜在影响，编制地下水专项报告和专章， 为下一步地下水环境状况详细调查和污染风险防控提供科学依据。</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47"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w:t>
            </w:r>
          </w:p>
        </w:tc>
        <w:tc>
          <w:tcPr>
            <w:tcW w:w="2087"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严格控制涉重金属企业污染物排放</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聚焦重有色金属采选、冶炼等重点行业，开展企业绿色提标改造，全面执行颗粒物重点污染物特别排放限值，进一步严格颗粒物排放控制要求。将涉镉等重金属行业企业纳入大气、水污染物重点排污单位名录，企业全面安装、使用水、大气污染物排放自动监测设备，对大气颗粒物排放、废水中镉等重金属排放实行自动监测，并按照有关规定与生态环境主管部门的数据平台联网；以监测数据核算颗粒物、重金属等排放量，并依法纳入执行报告，上报全国排污许可证管理信息平台并公开。</w:t>
            </w:r>
          </w:p>
        </w:tc>
        <w:tc>
          <w:tcPr>
            <w:tcW w:w="145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90" w:hRule="atLeast"/>
          <w:jc w:val="center"/>
        </w:trPr>
        <w:tc>
          <w:tcPr>
            <w:tcW w:w="78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完成耕地周边（原则上平原地区周边10公里之内，山区、丘陵地区可适当缩减）涉镉等重金属行业企业排查，及时更新污染源排查整治清单。</w:t>
            </w:r>
          </w:p>
        </w:tc>
        <w:tc>
          <w:tcPr>
            <w:tcW w:w="1454"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18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7"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坚持边排查边整治，完成重金属行业企业排查整治任务。</w:t>
            </w:r>
          </w:p>
        </w:tc>
        <w:tc>
          <w:tcPr>
            <w:tcW w:w="145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18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2022年12月底前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40"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4</w:t>
            </w:r>
          </w:p>
        </w:tc>
        <w:tc>
          <w:tcPr>
            <w:tcW w:w="2087"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防控矿产资源开发污染土壤</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监督指导采矿权人履行矿山地质环境恢复治理义务，预防和减少矿业活动对生态环境的污染破坏。将绿色矿业发展示范区建设与工矿废弃地复垦利用、矿山地质环境治理恢复、矿区土壤污染治理、土地整治等工作统筹推进，适用相关试点和支持政策。要因地制宜管控矿区污染土壤和酸性废水环境风险，综合整治重有色金属矿区污染，重点保障农业生产和生活用水安全，鼓励采取自然恢复等措施。</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60" w:hRule="atLeast"/>
          <w:jc w:val="center"/>
        </w:trPr>
        <w:tc>
          <w:tcPr>
            <w:tcW w:w="78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监督尾矿库运营、管理单位履行防治土壤污染的法定义务，防止其发生可能污染土壤的事故。</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应急管理局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生态环境局,相关镇人民政府</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60"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加强对尾矿库土壤污染防治情况的监督检查和定期评估，发现环境风险隐患的，及时督促尾矿库运营、管理单位采取相应措施。</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应急管理局,相关镇人民政府</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71"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5</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2087"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加大农业面源</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污染防治力度</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坚持绿色农业发展，积极推进农药化肥使用量负增长行动，持续实施减量，提高利用率。加强农药包装废弃物和废弃农膜回收处理，持续推进省定农药包装废弃物回收处理试点任务，力争实现农药包装废弃物全面回收利用。</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农业农村局、发展改革和统计局、财政金融局、市场监督管理局、</w:t>
            </w:r>
            <w:r>
              <w:rPr>
                <w:rFonts w:hint="eastAsia" w:ascii="宋体" w:hAnsi="宋体" w:cs="宋体"/>
                <w:bCs/>
                <w:szCs w:val="21"/>
                <w:highlight w:val="none"/>
                <w:lang w:eastAsia="zh-CN"/>
              </w:rPr>
              <w:t>市</w:t>
            </w:r>
            <w:r>
              <w:rPr>
                <w:rFonts w:hint="eastAsia" w:ascii="宋体" w:hAnsi="宋体" w:cs="宋体"/>
                <w:bCs/>
                <w:szCs w:val="21"/>
                <w:highlight w:val="none"/>
              </w:rPr>
              <w:t>供销</w:t>
            </w:r>
            <w:r>
              <w:rPr>
                <w:rFonts w:hint="eastAsia" w:ascii="宋体" w:hAnsi="宋体" w:cs="宋体"/>
                <w:bCs/>
                <w:szCs w:val="21"/>
                <w:highlight w:val="none"/>
                <w:lang w:eastAsia="zh-CN"/>
              </w:rPr>
              <w:t>合作</w:t>
            </w:r>
            <w:r>
              <w:rPr>
                <w:rFonts w:hint="eastAsia" w:ascii="宋体" w:hAnsi="宋体" w:cs="宋体"/>
                <w:bCs/>
                <w:szCs w:val="21"/>
                <w:highlight w:val="none"/>
              </w:rPr>
              <w:t>社,相关片区管理办公室、镇人民政府、街道办事处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27" w:hRule="atLeast"/>
          <w:jc w:val="center"/>
        </w:trPr>
        <w:tc>
          <w:tcPr>
            <w:tcW w:w="78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强化畜禽养殖污染防治。积极推进种养结合和畜禽粪污资源化利用。</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农业农村局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发展改革和统计局、财政金融局、生态环境局,相关片区管理办公室、镇人民政府、街道办事处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76" w:hRule="atLeast"/>
          <w:jc w:val="center"/>
        </w:trPr>
        <w:tc>
          <w:tcPr>
            <w:tcW w:w="78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严格规模养殖环境监管，对无证排污、不按证排污、污染防治设施配套不到位、粪污未经无害化处理直接还田或向环境排放，不符合国家和地方排放标准的，要依法查处。加强规模以下养殖户畜禽污染防治，在散养密集区推广典型治理模式。</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农业农村局,相关片区管理办公室、镇人民政府、街道办事处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07"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加强农业面源污染防治监管指导。开展农业面源污染调查监测，逐步开展农业面源污染评估，加强农业面源污染观测，建设农业面源污染监管平台。</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生态环境、农业农村局按职责分工负责</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发展改革和统计局、财政金融局、市场监督管理局、</w:t>
            </w:r>
            <w:r>
              <w:rPr>
                <w:rFonts w:hint="eastAsia" w:ascii="宋体" w:hAnsi="宋体" w:cs="宋体"/>
                <w:bCs/>
                <w:szCs w:val="21"/>
                <w:highlight w:val="none"/>
                <w:lang w:eastAsia="zh-CN"/>
              </w:rPr>
              <w:t>市</w:t>
            </w:r>
            <w:r>
              <w:rPr>
                <w:rFonts w:hint="eastAsia" w:ascii="宋体" w:hAnsi="宋体" w:cs="宋体"/>
                <w:bCs/>
                <w:szCs w:val="21"/>
                <w:highlight w:val="none"/>
              </w:rPr>
              <w:t>供销</w:t>
            </w:r>
            <w:r>
              <w:rPr>
                <w:rFonts w:hint="eastAsia" w:ascii="宋体" w:hAnsi="宋体" w:cs="宋体"/>
                <w:bCs/>
                <w:szCs w:val="21"/>
                <w:highlight w:val="none"/>
                <w:lang w:eastAsia="zh-CN"/>
              </w:rPr>
              <w:t>合作</w:t>
            </w:r>
            <w:r>
              <w:rPr>
                <w:rFonts w:hint="eastAsia" w:ascii="宋体" w:hAnsi="宋体" w:cs="宋体"/>
                <w:bCs/>
                <w:szCs w:val="21"/>
                <w:highlight w:val="none"/>
              </w:rPr>
              <w:t>社,相关片区管理办公室、镇人民政府、街道办事处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38"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6</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建立土壤生态环境长期观测研究基地</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按照省定要求分期、分批建立长期观测研究基地，重点对土壤环境状况、重金属输入输出以及土壤生态开展监测，识别和排查污染成因，为精准管控污染源，以及评估耕地污染源管控成效与耕地土壤重金属污染趋势，探索耕地土壤污染预警技术提供数据支撑。</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农业农村局,相关片区管理办公室、镇人民政府、街道办事处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bCs/>
                <w:szCs w:val="21"/>
                <w:highlight w:val="none"/>
              </w:rPr>
              <w:t>按照省定要求，按时推进建设进度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76"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7</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严格建设项目土壤环境影响评价制度</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对涉及有毒有害物质可能造成土壤污染的新（改、扩）建项目，依法进行环境影响评价，提出并落实防腐蚀、防渗漏、防遗撒等土壤污染防治具体措施。针对相关重点行业提出有关防腐蚀、防泄漏设施和泄漏监测装置的设计、建设和安装要求。</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49"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8</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推动实施绿色化</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改造</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推进工业绿色升级，加快实施钢铁、石化、化工、有色、皮革等行业绿色化改造。鼓励土壤污染重点监管单位因地制宜实施管道化、密闭化改造，重点区域防腐防渗改造；以及物料、污水、废气管线架空建设和改造，从源头上防范土壤污染。</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78"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9</w:t>
            </w:r>
          </w:p>
        </w:tc>
        <w:tc>
          <w:tcPr>
            <w:tcW w:w="2087"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强化重点监管单位管理</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根据典型行业有毒有害物质排放、腾退地块土壤污染情况、重点行业企业用地土壤污染状况调查结果，将相关行业企业纳入土壤污染重点监管单位名录。完成土壤污染重点监管单位名录更新工作，并向社会公开。督促土壤污染重点监管单位全面落实土壤污染防治义务，依法纳入排污许可管理。</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85"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2021年年底前，重点监管企业自行监测率达到100%，完成1次土壤和地下水污染隐患排查，制定整改方案和台账并落实。全年完成1次土壤污染重点监管单位周边土壤监测。排污许可证载明土壤污染防治义务完成率稳步提高。</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工业和科技创新委员会,相关片区管理办公室、镇人民政府、街道办事处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12"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10</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严格企业拆除活动管理</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有色金属冶炼、铅酸蓄电池、石油加工、化工、电镀、制革和危险化学品生产、储存、使用等企业在拆除生产设施设备、污染治理设施时,要按照国家企业拆除活动污染防治的技术规定,事先制定残留污染物清理和安全处置方案,并报生态环境局、工业和科技创新委员会等部门备案并技术评审</w:t>
            </w:r>
            <w:r>
              <w:rPr>
                <w:rFonts w:hint="eastAsia" w:ascii="宋体" w:hAnsi="宋体" w:cs="宋体"/>
                <w:bCs/>
                <w:szCs w:val="21"/>
                <w:highlight w:val="none"/>
                <w:lang w:eastAsia="zh-CN"/>
              </w:rPr>
              <w:t>；</w:t>
            </w:r>
            <w:r>
              <w:rPr>
                <w:rFonts w:hint="eastAsia" w:ascii="宋体" w:hAnsi="宋体" w:cs="宋体"/>
                <w:bCs/>
                <w:szCs w:val="21"/>
                <w:highlight w:val="none"/>
              </w:rPr>
              <w:t>在拆除上述建筑物、构筑物时,要先进行环境风险评估,如发现建筑物中含有毒有害废物,要向生态环境局、住房和城乡建设部门报告,并由具备相应处置资质的单位进行无害化处置。</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szCs w:val="21"/>
                <w:highlight w:val="none"/>
              </w:rPr>
              <w:t>工业和科技创新委</w:t>
            </w:r>
            <w:r>
              <w:rPr>
                <w:rFonts w:hint="eastAsia" w:ascii="宋体" w:hAnsi="宋体" w:cs="宋体"/>
                <w:bCs/>
                <w:szCs w:val="21"/>
                <w:highlight w:val="none"/>
              </w:rPr>
              <w:t>员会</w:t>
            </w:r>
            <w:r>
              <w:rPr>
                <w:rFonts w:hint="eastAsia" w:ascii="宋体" w:hAnsi="宋体" w:cs="宋体"/>
                <w:szCs w:val="21"/>
                <w:highlight w:val="none"/>
              </w:rPr>
              <w:t>、住房和城乡建设局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长期持续开展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04"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11</w:t>
            </w:r>
          </w:p>
        </w:tc>
        <w:tc>
          <w:tcPr>
            <w:tcW w:w="2087"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实施严格耕地保护</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依据土壤污染防治法开展永久基本农田集中区域划定试点，在永久基本农田集中区域，不得规划新建可能造成土壤污染的建设项目。</w:t>
            </w:r>
          </w:p>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szCs w:val="21"/>
                <w:highlight w:val="none"/>
              </w:rPr>
              <w:t>自然资源主管部门批准土地复垦方案前，应当对拟复垦土地开展土壤污染状况调查，符合农用地土壤污染风险管控标准的，方可批准复垦。加强对未利用地（林地、草地</w:t>
            </w:r>
            <w:r>
              <w:rPr>
                <w:rFonts w:hint="eastAsia" w:ascii="宋体" w:hAnsi="宋体" w:cs="宋体"/>
                <w:szCs w:val="21"/>
                <w:highlight w:val="none"/>
                <w:lang w:eastAsia="zh-CN"/>
              </w:rPr>
              <w:t>、</w:t>
            </w:r>
            <w:r>
              <w:rPr>
                <w:rFonts w:hint="eastAsia" w:ascii="宋体" w:hAnsi="宋体" w:cs="宋体"/>
                <w:szCs w:val="21"/>
                <w:highlight w:val="none"/>
              </w:rPr>
              <w:t>饮用水水源地和自然保护区等）管理保护，明确标准要求。</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自然资源和规划局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szCs w:val="21"/>
                <w:highlight w:val="none"/>
              </w:rPr>
              <w:t>发展改革和统计局、财政金融局、生态环境局、农业农村局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8"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szCs w:val="21"/>
                <w:highlight w:val="none"/>
              </w:rPr>
              <w:t>加强农业投入品质量监管，从严查处向农田施用不达标肥料等农业投入品的行为。</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农业农村局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szCs w:val="21"/>
                <w:highlight w:val="none"/>
              </w:rPr>
              <w:t>生态环境局、市场监督管理局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9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巩固安全利用成效</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szCs w:val="21"/>
                <w:highlight w:val="none"/>
              </w:rPr>
              <w:t>充分运用土壤环境质量类别划分成果，依法实施分类管理。总结耕地安全利用与修复技术模式，不断调整优化、推广应用品种替代、水肥调控、生理阻隔、土壤调理等技术，接受省安全利用耕地专家指导组的技术指导和培训，确保安全利用类耕地</w:t>
            </w:r>
            <w:r>
              <w:rPr>
                <w:rFonts w:hint="eastAsia" w:ascii="宋体" w:hAnsi="宋体" w:cs="宋体"/>
                <w:szCs w:val="21"/>
                <w:highlight w:val="none"/>
                <w:lang w:eastAsia="zh-CN"/>
              </w:rPr>
              <w:t>面积</w:t>
            </w:r>
            <w:r>
              <w:rPr>
                <w:rFonts w:hint="eastAsia" w:ascii="宋体" w:hAnsi="宋体" w:cs="宋体"/>
                <w:szCs w:val="21"/>
                <w:highlight w:val="none"/>
              </w:rPr>
              <w:t>达到省定要求。</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农业农村局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bCs/>
                <w:szCs w:val="21"/>
                <w:highlight w:val="none"/>
              </w:rPr>
            </w:pPr>
            <w:r>
              <w:rPr>
                <w:rFonts w:hint="eastAsia" w:ascii="宋体" w:hAnsi="宋体" w:cs="宋体"/>
                <w:szCs w:val="21"/>
                <w:highlight w:val="none"/>
              </w:rPr>
              <w:t>工业和科技创新委</w:t>
            </w:r>
            <w:r>
              <w:rPr>
                <w:rFonts w:hint="eastAsia" w:ascii="宋体" w:hAnsi="宋体" w:cs="宋体"/>
                <w:bCs/>
                <w:szCs w:val="21"/>
                <w:highlight w:val="none"/>
              </w:rPr>
              <w:t>员会</w:t>
            </w:r>
            <w:r>
              <w:rPr>
                <w:rFonts w:hint="eastAsia" w:ascii="宋体" w:hAnsi="宋体" w:cs="宋体"/>
                <w:szCs w:val="21"/>
                <w:highlight w:val="none"/>
              </w:rPr>
              <w:t>、财政金融局、生态环境局、发展改革和统计局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31"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13</w:t>
            </w:r>
          </w:p>
        </w:tc>
        <w:tc>
          <w:tcPr>
            <w:tcW w:w="2087"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全面落实严格管控</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对严格管控类耕地地块，采取种植结构调整、退耕还林还草等风险管控措施，严禁种植食用农产品，并给予相应的政策支持，确保省定严格管控类耕地得到安全利用。探索开展严格管控类耕地种植结构调整或退耕还林还草等措施实施情况监测评估。</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农业农村局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财政金融局、自然资源和规划局、生态环境局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72"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将列入严格管控类且无法恢复治理的耕地进行整改补划，并对粮食生产功能区和重要农产品保护区进行相应调整。</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自然资源和规划局、财政金融局、生态环境局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42"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14</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严禁重金属超标粮食进入口粮市场</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加大对安全利用类耕地产出的农产品临田检测力度，加强超标粮食处置，强化对粮食收购和加工企业的监管，督促开展收购粮食的重金属检测，对于超标的，专仓收储，严格管理，未经无害处理，严禁流入口粮市场。对市场中流通的粮食，加大抽检力度，发现问题及时处理，坚决防范重金属超标粮食进入口粮市场。</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生态环境局、农业农村局、市场监督管理局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长期开展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15</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动态调整耕地土壤环境质量类别</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根据土壤环境质量例行监测、农用地重点地块监测、农产品检测、治理修复效果评估等，动态调整土壤环境质量类别，并将清单上传全国土壤环境信息化管理平台。不鼓励曾用于生产、使用、贮存、回收、处置有毒有害物质的工矿用地复垦为食用农产品耕地；确需复垦为食用农产品耕地的，应确保农用地风险管控标准之外的特征污染特不超过所在地土壤环境背景值，并依法进行分类管理，加强重点监测。</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农业农村局、自然资源和规划局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95"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16</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落实耕地土壤污染预警制度</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贯彻落实《河南省耕地土壤污染预警工作方案》《2021年度河南省耕地土壤污染防治预警监测工作实施方案》，按照“监测-预判-处置”的思路，以污染高风险区域耕地土壤为重点，按省定要求布设耕地预警监测点位，建立预警体系，有效管控耕地土壤环境风险。</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92"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17</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开展土壤污染状况调查评估</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以用途变更为住宅、公共管理与公共服务用地的地块，及腾退工矿企业用地为重点，依法开展土壤污染状况调查和风险评估；优先对重点行业企业用地调查查明的潜在高风险地块，开展进一步调查和风险评估。充分发挥环境大数据辅助监管的作用，对注销、撤销排污许可证企业，及时纳入监管视野，防止腾退地块游离于监管之外。鼓励对列入年度建设用地供应计划的地块，因地制宜适当提前开展土壤污染状况调查，化解建设用地土壤污染风险管控和修复与土地开发进度之间的矛盾。自然资源部门在土地征收、收回、收购以及转让、改变用途等环节，商生态环境部门依法督促相关单位调查并上报土壤污染状况。</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74"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18</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合理规划污染地块用途</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编制国土空间规划等相关规划时，应充分考虑建设用地土壤污染的环境风险，合理确定其土地用途。农药、化工等行业中的重度污染地块原则上不得规划为住宅、学校、养老机构等敏感用地。原则上，国土空间规划方案提交审议前，对涉及依法应当开展土壤污染状况调查的地块，应当完成调查和风险评估；规划方案已审议但未报批的，应在规划方案和供地方案报批前完成调查和风险评估；供地方案已报批的，应在签订土地出让合同前完成调查和风险评估。</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长期持续实施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62"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19</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因地制宜严格污染地块准入管理</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列入建设用地土壤污染风险管控和修复名录的地块，不得作为住宅、公共管理与公共服务用地。未达到土壤污染风险评估报告确定的风险管控、修复目标的建设用地地块，禁止开工建设任何与风险管控、修复无关的项目。依法应当开展土壤污染状况调查或风险评估而未开展或尚未完成调查评估的土壤污染风险不明地块，杜绝进入用地程序。完善准入管理机制，采取“净土收储”“净土供应”“净土开发”或“环境修复+开发建设”等模式，严格污染地块用途管制，落实准入管理要求。</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长期持续实施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2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20</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合理确定土地开发和使用时序</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涉及成片污染地块分期分批开发的，以及污染地块周边土地开发的，要优化开发时序，防止受污染土壤及其后续风险管控和修复影响周边拟入住敏感人群，并防止引发负面舆情。原则上，居住、学校、养老机构等用地在毗邻地块土壤污染风险管控和修复完成后再投入使用。</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长期持续实施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74"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21</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强化部门信息共享和联动监管</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bCs/>
                <w:szCs w:val="21"/>
                <w:highlight w:val="none"/>
              </w:rPr>
              <w:t>制定污染地块空间信息规范化格式技术要求，建立污染地块数据库及信息平台，共享疑似污染地块及污染地块空间信息（用途变更为住宅、公共管理与公共服务用地的地块信息；土壤污染重点监管单位生产经营用地用途变更或土地使用权收回、转让信息；涉及疑似污染地块、污染地块国土空间规划等相关信息）。将污染地块空间信息叠加至国土空间规划的“一张图”。完善部门联动监管机制，防止污染地块未开展或未完成土壤污染风险管控和修复，即投入开发建设；鼓励利用卫星遥感、无人机、视频监控等手段开展非现场检查。</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423" w:hRule="atLeast"/>
          <w:jc w:val="center"/>
        </w:trPr>
        <w:tc>
          <w:tcPr>
            <w:tcW w:w="789"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22</w:t>
            </w:r>
          </w:p>
        </w:tc>
        <w:tc>
          <w:tcPr>
            <w:tcW w:w="2087"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做好暂不开发利用污染地块管理</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生态环境部门对列入污染地块名录的地块，向社会公开地块信息，通报各污染地块所在片区、镇、街道，并督促责任主体及时采取覆盖、移除、封存或者清理污染源等防止污染扩散的风险管控措施。相关风险管控和修复单位及其委托人应当设置公示牌，公开污染地块主要污染物、可能存在的环境风险及采取的治理措施。对暂不开发利用或现阶段不具备治理与修复条件的污染地块，制定污染地块风险管控年度计划。</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240" w:hRule="atLeast"/>
          <w:jc w:val="center"/>
        </w:trPr>
        <w:tc>
          <w:tcPr>
            <w:tcW w:w="789"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配合有关部门提出划定管控区域的建议，报人民政府批准后，设立标识、发布公告，并于10月底前组织开展土壤、地表水、地下水、环境空气质量监测。根据调查与风险评估结果,制定差异化措施,实施以防止污染扩散为目的的“一块一策”风险管控措施，加强对风险管控区域现场执法检查。</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10月底前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08"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23</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加强信息公开</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2021年起，在土地收储、出让以及房地产出售等环节，土地使用权人应公开地块原土壤污染状况及污染治理和修复情况。强化土壤污染风险管控、修复项目施工过程，以及暂不开发利用地块风险管控的信息公开。</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长期持续实施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15"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24</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提升耕地土壤</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环境质量</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推进耕地土壤污染修复试点，以镉污染耕地为重点，因地制宜选择典型受污染耕地，推进以降低土壤中污染物含量为目的的修复试点工作。</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rPr>
                <w:rFonts w:hint="eastAsia" w:ascii="宋体" w:hAnsi="宋体" w:cs="宋体"/>
                <w:szCs w:val="21"/>
                <w:highlight w:val="none"/>
              </w:rPr>
            </w:pPr>
            <w:r>
              <w:rPr>
                <w:rFonts w:hint="eastAsia" w:ascii="宋体" w:hAnsi="宋体" w:cs="宋体"/>
                <w:szCs w:val="21"/>
                <w:highlight w:val="none"/>
              </w:rPr>
              <w:t>按照耕地土壤污染修复试点项目实施方案持续推进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7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25</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有序推进建设用地土壤污染风险管控和修复</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以用途变更为住宅、公共管理与公共服务用地的污染地块为重点，严格落实风险管控和修复。以重点地区危险化学品生产企业搬迁改造等专项行动遗留地块为重点，加强腾退土地污染风险管控和治理修复。以金属表面处理及热处理加工、基础化学原料制造、炼焦、专用化学品制造等行业企业为重点，鼓励采用污染阻隔、监测自然衰减等原位风险管控或修复技术，探索在产企业边生产边管控土壤污染风险模式。受污染土壤修复后资源化利用的，不得对土壤和周边环境造成新的污染。对暂不开发的受污染建设用地，实施土壤污染风险管控，防止污染扩散。强化风险管控和修复工程监管，重点防止转运污染土壤非法处置，以及农药类等污染地块风险管控和修复过程中产生的异味等二次污染，确保实现风险管控和修复目标。探索建立污染土壤转运联单制度。针对风险管控地块，通过跟踪监测和现场检查等方式，强化后期管理。建立可操作性强的绿色可持续修复评价体系与评价方法，加强对公众与管理部门的教育培训，推动地方对污染土壤治理修复工程开展绿色可持续评价，研究发布对采用绿色可持续修复措施、实现碳减排项目的激励政策，开展污染地块绿色可持续修复试点示范。经评估需开展地下水污染治理的，要协同推进土壤和地下水风险管控和修复。</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自然资源和规划局</w:t>
            </w: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240"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26</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推动修复产业</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健康发展</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推动形成若干综合实力雄厚的龙头企业，培育一批“专精特新”的中小企业</w:t>
            </w:r>
            <w:r>
              <w:rPr>
                <w:rFonts w:hint="eastAsia" w:ascii="宋体" w:hAnsi="宋体" w:cs="宋体"/>
                <w:bCs/>
                <w:szCs w:val="21"/>
                <w:highlight w:val="none"/>
                <w:lang w:eastAsia="zh-CN"/>
              </w:rPr>
              <w:t>，</w:t>
            </w:r>
            <w:r>
              <w:rPr>
                <w:rFonts w:hint="eastAsia" w:ascii="宋体" w:hAnsi="宋体" w:cs="宋体"/>
                <w:bCs/>
                <w:szCs w:val="21"/>
                <w:highlight w:val="none"/>
              </w:rPr>
              <w:t>依法将从事土壤污染风险管控、修复活动的单位和个人的执业情况，纳入信用系统，建立信用记录，将违法信息记入社会诚信档案，并纳入全国信用信息共享平台和国家企业信用信息公示系统向社会公布。评审部门将建设用地土壤污染状况调查、风险评估、风险管控效果评估、修复效果评估等报告评审通过情况汇总，并在官网予以公布，鼓励社会选择从业水平高、评审通过率高的单位，淘汰水平不高、评审通过率低的单位，推动从业单位提高水平和能力。</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90"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27</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健全土壤环境</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监测网络</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完善土壤环境监测网，优化调整土壤环境监测点位，开展农产品产地土壤环境监测，完善数据共享机制，建立统一的土壤、地下水与农业农村生态环境监管信息化平台。实施定期监测，完善土壤环境质量例行监测制度。完善土壤与可食用农产品协同监测、大中型灌区水质监测长效机制，为土壤污染防治提供支撑。</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生态环境局、水利局、农业农村局按职责分工负责</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74"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28</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加强生态环境</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执法与应急</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依法将土壤生态环境保护相关工作纳入日常执法内容，开展“双随机一公开”执法检查。严厉打击固体废物特别是危险废物非法倾倒或填埋，以及利用渗井、渗坑、裂隙、溶洞等逃避监管的方式向地下排放污染物等行为，对涉嫌污染土壤造成人身或财产损害的线索，及时移送至司法机关；配合开展污染土壤、地下水生态环境损害赔偿调查，落实生态环境损害赔偿制度。提升突发环境事件土壤生态环境保护应急处置能力，各相关单位制定的突发环境事件应急预案应当包括防止土壤和地下水环境污染内容。组织开展监管执法工作培训。鼓励设立土壤生态环境监管技术支撑团队。</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自然资源和规划局、农业农村局,相关片区管理办公室、镇人民政府、街道办事处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87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29</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强化科技支撑</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开展有关土壤污染物生态毒理、污染物在土壤中迁移转化规律、土壤污染风险评估涉及的关键暴露参数等基础研究；土壤中铅、砷等污染物生物可利用性测试方法研究和验证；探索建立有关污染物毒理数据可靠性的评审规则和机制，为完善土壤污染风险管控标准，开展土壤污染风险评估提供基础支撑。开展土壤污染累积变化趋势及预测预警方法研究。开展全氟化合物等污染物分析测试、治理修复等技术和方法研究。推进土壤和地下水污染源头预防和管控、污染地块风险管控与治理修复、效果评估、后期管理等共性关键技术研究。推动开展镉等重金属大气污染物排放自动监测设备，地下储罐、管道周边土壤与地下水污染隐患快速检测设备研究。推动先进适用科研成果转化示范推广。</w:t>
            </w: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生态环境局、工业和科技创新委员会</w:t>
            </w:r>
          </w:p>
        </w:tc>
        <w:tc>
          <w:tcPr>
            <w:tcW w:w="2182" w:type="dxa"/>
            <w:noWrap w:val="0"/>
            <w:vAlign w:val="center"/>
          </w:tcPr>
          <w:p>
            <w:pPr>
              <w:keepNext w:val="0"/>
              <w:keepLines w:val="0"/>
              <w:pageBreakBefore w:val="0"/>
              <w:widowControl w:val="0"/>
              <w:tabs>
                <w:tab w:val="left" w:pos="1108"/>
              </w:tabs>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自然资源和规划局、农业农村局</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75"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30</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加大资金投入</w:t>
            </w:r>
          </w:p>
        </w:tc>
        <w:tc>
          <w:tcPr>
            <w:tcW w:w="6049"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bCs/>
                <w:szCs w:val="21"/>
                <w:highlight w:val="none"/>
              </w:rPr>
              <w:t>加大土壤污染防治资金投入，统筹用好中央土壤污染防治专项资金和省市级土壤污染防治资金，依靠土壤污染防治专家力量、科技力量，以项目为抓手推进土壤污染防治工作。</w:t>
            </w:r>
          </w:p>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p>
        </w:tc>
        <w:tc>
          <w:tcPr>
            <w:tcW w:w="1454"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财政金融局、生态环境局、农业农村局、自然资源和规划局按职责分工负责</w:t>
            </w:r>
          </w:p>
        </w:tc>
        <w:tc>
          <w:tcPr>
            <w:tcW w:w="218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相关片区管理办公室、镇人民政府、街道办事处</w:t>
            </w:r>
          </w:p>
        </w:tc>
        <w:tc>
          <w:tcPr>
            <w:tcW w:w="2202"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bl>
    <w:p>
      <w:pPr>
        <w:keepNext w:val="0"/>
        <w:keepLines w:val="0"/>
        <w:pageBreakBefore w:val="0"/>
        <w:widowControl w:val="0"/>
        <w:kinsoku/>
        <w:wordWrap/>
        <w:overflowPunct/>
        <w:topLinePunct w:val="0"/>
        <w:autoSpaceDE/>
        <w:autoSpaceDN/>
        <w:bidi w:val="0"/>
        <w:spacing w:line="592" w:lineRule="exact"/>
        <w:rPr>
          <w:rFonts w:hint="eastAsia" w:ascii="宋体" w:hAnsi="宋体" w:eastAsia="仿宋_GB2312" w:cs="仿宋_GB2312"/>
          <w:kern w:val="4"/>
          <w:sz w:val="36"/>
          <w:szCs w:val="36"/>
          <w:highlight w:val="none"/>
        </w:rPr>
      </w:pPr>
    </w:p>
    <w:p>
      <w:pPr>
        <w:keepNext w:val="0"/>
        <w:keepLines w:val="0"/>
        <w:pageBreakBefore w:val="0"/>
        <w:widowControl w:val="0"/>
        <w:kinsoku/>
        <w:wordWrap/>
        <w:overflowPunct/>
        <w:topLinePunct w:val="0"/>
        <w:autoSpaceDE/>
        <w:autoSpaceDN/>
        <w:bidi w:val="0"/>
        <w:spacing w:line="700" w:lineRule="exact"/>
        <w:jc w:val="left"/>
        <w:rPr>
          <w:rFonts w:hint="eastAsia" w:ascii="宋体" w:hAnsi="宋体" w:eastAsia="黑体" w:cs="黑体"/>
          <w:sz w:val="32"/>
          <w:szCs w:val="32"/>
          <w:highlight w:val="none"/>
        </w:rPr>
        <w:sectPr>
          <w:footerReference r:id="rId9" w:type="default"/>
          <w:pgSz w:w="16838" w:h="11906" w:orient="landscape"/>
          <w:pgMar w:top="1417" w:right="1417" w:bottom="1417" w:left="1417" w:header="851" w:footer="1304" w:gutter="0"/>
          <w:pgNumType w:fmt="decimal" w:start="69"/>
          <w:cols w:space="720" w:num="1"/>
          <w:docGrid w:type="lines" w:linePitch="324" w:charSpace="0"/>
        </w:sectPr>
      </w:pP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济源产城融合示范区</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2021年农业农村污染治理攻坚战实施方案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highlight w:val="none"/>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仿宋_GB2312"/>
          <w:b w:val="0"/>
          <w:bCs w:val="0"/>
          <w:sz w:val="32"/>
          <w:szCs w:val="32"/>
          <w:highlight w:val="none"/>
        </w:rPr>
        <w:t>为全面贯彻中央有关精神，认真落实省委十届十二次全会暨省委经济工作会议和省委农村工作会议部署，全面推进农村生态文明建设，深入打好农业农村污染治理攻坚战，结合</w:t>
      </w:r>
      <w:r>
        <w:rPr>
          <w:rFonts w:ascii="宋体" w:hAnsi="宋体" w:eastAsia="仿宋_GB2312"/>
          <w:b w:val="0"/>
          <w:bCs w:val="0"/>
          <w:sz w:val="32"/>
          <w:szCs w:val="32"/>
          <w:highlight w:val="none"/>
        </w:rPr>
        <w:t>济源产城融合</w:t>
      </w:r>
      <w:r>
        <w:rPr>
          <w:rFonts w:hint="eastAsia" w:ascii="宋体" w:hAnsi="宋体" w:eastAsia="仿宋_GB2312"/>
          <w:b w:val="0"/>
          <w:bCs w:val="0"/>
          <w:sz w:val="32"/>
          <w:szCs w:val="32"/>
          <w:highlight w:val="none"/>
        </w:rPr>
        <w:t>示范区实际，制定本方案。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黑体" w:cs="黑体"/>
          <w:b w:val="0"/>
          <w:bCs w:val="0"/>
          <w:sz w:val="32"/>
          <w:szCs w:val="32"/>
          <w:highlight w:val="none"/>
        </w:rPr>
        <w:t>一、工作目标</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仿宋_GB2312"/>
          <w:b w:val="0"/>
          <w:bCs w:val="0"/>
          <w:sz w:val="32"/>
          <w:szCs w:val="32"/>
          <w:highlight w:val="none"/>
        </w:rPr>
        <w:t>到</w:t>
      </w:r>
      <w:r>
        <w:rPr>
          <w:rFonts w:hint="eastAsia" w:ascii="宋体" w:hAnsi="宋体" w:eastAsia="宋体" w:cs="宋体"/>
          <w:b w:val="0"/>
          <w:bCs w:val="0"/>
          <w:sz w:val="32"/>
          <w:szCs w:val="32"/>
          <w:highlight w:val="none"/>
        </w:rPr>
        <w:t>2021</w:t>
      </w:r>
      <w:r>
        <w:rPr>
          <w:rFonts w:hint="eastAsia" w:ascii="宋体" w:hAnsi="宋体" w:eastAsia="仿宋_GB2312"/>
          <w:b w:val="0"/>
          <w:bCs w:val="0"/>
          <w:sz w:val="32"/>
          <w:szCs w:val="32"/>
          <w:highlight w:val="none"/>
        </w:rPr>
        <w:t>年底，努力实现“一保两治三减四提升”目标。“一保”，即农村饮用水水源保护进一步加强；“两治”，即农村生活污水得到有效治理、部分黑臭水体开始治理；“三减”，即减少化肥、农药施用量和农业用水量；“四提升”，即提升农村环境整治覆盖比例、农业废弃物资源化利用率、农业农村生态环境监管能力和农民参与度。力争农业面源污染得到初步管控，农村生态环境基础设施建设加快推进，农村生态环境持续改善，农村人居环境整治提升，农村生产生活方式绿色转型取得积极成效，乡村生态振兴走在黄河流域前列。</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ascii="宋体" w:hAnsi="宋体" w:eastAsia="黑体" w:cs="黑体"/>
          <w:b w:val="0"/>
          <w:bCs w:val="0"/>
          <w:szCs w:val="32"/>
          <w:highlight w:val="none"/>
        </w:rPr>
      </w:pPr>
      <w:r>
        <w:rPr>
          <w:rFonts w:hint="eastAsia" w:ascii="宋体" w:hAnsi="宋体" w:eastAsia="黑体" w:cs="黑体"/>
          <w:b w:val="0"/>
          <w:bCs w:val="0"/>
          <w:sz w:val="32"/>
          <w:szCs w:val="32"/>
          <w:highlight w:val="none"/>
        </w:rPr>
        <w:t>二、主要任务</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Cs w:val="32"/>
          <w:highlight w:val="none"/>
        </w:rPr>
      </w:pPr>
      <w:r>
        <w:rPr>
          <w:rFonts w:hint="eastAsia" w:ascii="宋体" w:hAnsi="宋体" w:eastAsia="楷体_GB2312" w:cs="楷体_GB2312"/>
          <w:b w:val="0"/>
          <w:bCs w:val="0"/>
          <w:sz w:val="32"/>
          <w:szCs w:val="32"/>
          <w:highlight w:val="none"/>
        </w:rPr>
        <w:t>（一）加强农村饮用水水源保护</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w:t>
      </w:r>
      <w:r>
        <w:rPr>
          <w:rFonts w:hint="eastAsia" w:ascii="宋体" w:hAnsi="宋体" w:eastAsia="仿宋_GB2312"/>
          <w:b w:val="0"/>
          <w:bCs w:val="0"/>
          <w:sz w:val="32"/>
          <w:szCs w:val="32"/>
          <w:highlight w:val="none"/>
        </w:rPr>
        <w:t>巩固镇级集中式饮用水水源保护区划定成果。组织有关部门开展镇级集中式饮用水水源保护区划定标志保护工作，不断推进水源地规范化建设。将饮用水水源保护要求和村民应承担的保护责任纳入村规民约。（示范区生态环境局、水利局按照职责分工负责，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2.</w:t>
      </w:r>
      <w:r>
        <w:rPr>
          <w:rFonts w:hint="eastAsia" w:ascii="宋体" w:hAnsi="宋体" w:eastAsia="仿宋_GB2312"/>
          <w:b w:val="0"/>
          <w:bCs w:val="0"/>
          <w:sz w:val="32"/>
          <w:szCs w:val="32"/>
          <w:highlight w:val="none"/>
        </w:rPr>
        <w:t xml:space="preserve">开展水源地环境风险排查整治。全面排查农村供水人口在 </w:t>
      </w:r>
      <w:r>
        <w:rPr>
          <w:rFonts w:hint="eastAsia" w:ascii="宋体" w:hAnsi="宋体" w:eastAsia="宋体" w:cs="宋体"/>
          <w:b w:val="0"/>
          <w:bCs w:val="0"/>
          <w:sz w:val="32"/>
          <w:szCs w:val="32"/>
          <w:highlight w:val="none"/>
        </w:rPr>
        <w:t>10000</w:t>
      </w:r>
      <w:r>
        <w:rPr>
          <w:rFonts w:hint="eastAsia" w:ascii="宋体" w:hAnsi="宋体" w:eastAsia="仿宋_GB2312"/>
          <w:b w:val="0"/>
          <w:bCs w:val="0"/>
          <w:sz w:val="32"/>
          <w:szCs w:val="32"/>
          <w:highlight w:val="none"/>
        </w:rPr>
        <w:t>人或日供水</w:t>
      </w:r>
      <w:r>
        <w:rPr>
          <w:rFonts w:hint="eastAsia" w:ascii="宋体" w:hAnsi="宋体" w:eastAsia="宋体" w:cs="宋体"/>
          <w:b w:val="0"/>
          <w:bCs w:val="0"/>
          <w:sz w:val="32"/>
          <w:szCs w:val="32"/>
          <w:highlight w:val="none"/>
        </w:rPr>
        <w:t>1000</w:t>
      </w:r>
      <w:r>
        <w:rPr>
          <w:rFonts w:hint="eastAsia" w:ascii="宋体" w:hAnsi="宋体" w:eastAsia="仿宋_GB2312"/>
          <w:b w:val="0"/>
          <w:bCs w:val="0"/>
          <w:sz w:val="32"/>
          <w:szCs w:val="32"/>
          <w:highlight w:val="none"/>
        </w:rPr>
        <w:t>吨以上的（以下简称“千吨万人”）饮用水水源地保护区内影响水质安全的生活污水垃圾、畜禽养殖等风险源，并进行规范化整治。制定饮用水水源地整治方案，根据水源地环境风险排查和环境监测结果，采取相应措施，确保农村饮水安全。（示范区生态环境局牵头，示范区水利局、农业农村局、住房和城乡建设局、自然资源和规划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3.</w:t>
      </w:r>
      <w:r>
        <w:rPr>
          <w:rFonts w:hint="eastAsia" w:ascii="宋体" w:hAnsi="宋体" w:eastAsia="仿宋_GB2312"/>
          <w:b w:val="0"/>
          <w:bCs w:val="0"/>
          <w:sz w:val="32"/>
          <w:szCs w:val="32"/>
          <w:highlight w:val="none"/>
        </w:rPr>
        <w:t>加强农村饮用水水源地生态环境监管。实施从水源地到水龙头的全过程控制，落实水源保护、工程建设、水质监测检测“三同时”制度。健全定期监测报告、应急事件处置、违法行为举报、水源信息公开、监督考核评价等工作机制。“千吨万人”农村饮用水水源地每季度监测评估一次，结果由有关部门向社会公开，并将“千吨万人”农村饮用水水源地纳入日常监测和环境监督执法范畴。将农村地表饮用水水源地保护纳入河（湖）长制，落实饮用水水源地保护责任。（示范区生态环境局、卫生健康委员会、水利局、住房和城乡建设局按照职责分工负责，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（二）梯次推进农村生活污水治理</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4.</w:t>
      </w:r>
      <w:r>
        <w:rPr>
          <w:rFonts w:hint="eastAsia" w:ascii="宋体" w:hAnsi="宋体" w:eastAsia="仿宋_GB2312"/>
          <w:b w:val="0"/>
          <w:bCs w:val="0"/>
          <w:sz w:val="32"/>
          <w:szCs w:val="32"/>
          <w:highlight w:val="none"/>
        </w:rPr>
        <w:t>加快推进农村污水治理。加快推进平原区域新增</w:t>
      </w:r>
      <w:r>
        <w:rPr>
          <w:rFonts w:hint="eastAsia" w:ascii="宋体" w:hAnsi="宋体" w:eastAsia="宋体" w:cs="宋体"/>
          <w:b w:val="0"/>
          <w:bCs w:val="0"/>
          <w:sz w:val="32"/>
          <w:szCs w:val="32"/>
          <w:highlight w:val="none"/>
        </w:rPr>
        <w:t>60</w:t>
      </w:r>
      <w:r>
        <w:rPr>
          <w:rFonts w:hint="eastAsia" w:ascii="宋体" w:hAnsi="宋体" w:eastAsia="仿宋_GB2312"/>
          <w:b w:val="0"/>
          <w:bCs w:val="0"/>
          <w:sz w:val="32"/>
          <w:szCs w:val="32"/>
          <w:highlight w:val="none"/>
        </w:rPr>
        <w:t>千米污水主管网、平原区域新增的</w:t>
      </w:r>
      <w:r>
        <w:rPr>
          <w:rFonts w:hint="eastAsia" w:ascii="宋体" w:hAnsi="宋体" w:eastAsia="宋体" w:cs="宋体"/>
          <w:b w:val="0"/>
          <w:bCs w:val="0"/>
          <w:sz w:val="32"/>
          <w:szCs w:val="32"/>
          <w:highlight w:val="none"/>
        </w:rPr>
        <w:t>110</w:t>
      </w:r>
      <w:r>
        <w:rPr>
          <w:rFonts w:hint="eastAsia" w:ascii="宋体" w:hAnsi="宋体" w:eastAsia="仿宋_GB2312"/>
          <w:b w:val="0"/>
          <w:bCs w:val="0"/>
          <w:sz w:val="32"/>
          <w:szCs w:val="32"/>
          <w:highlight w:val="none"/>
        </w:rPr>
        <w:t>个接入市政管网及</w:t>
      </w:r>
      <w:r>
        <w:rPr>
          <w:rFonts w:hint="eastAsia" w:ascii="宋体" w:hAnsi="宋体" w:eastAsia="宋体" w:cs="宋体"/>
          <w:b w:val="0"/>
          <w:bCs w:val="0"/>
          <w:sz w:val="32"/>
          <w:szCs w:val="32"/>
          <w:highlight w:val="none"/>
        </w:rPr>
        <w:t>49</w:t>
      </w:r>
      <w:r>
        <w:rPr>
          <w:rFonts w:hint="eastAsia" w:ascii="宋体" w:hAnsi="宋体" w:eastAsia="仿宋_GB2312"/>
          <w:b w:val="0"/>
          <w:bCs w:val="0"/>
          <w:sz w:val="32"/>
          <w:szCs w:val="32"/>
          <w:highlight w:val="none"/>
        </w:rPr>
        <w:t>个自建终端处理村（居）支管网</w:t>
      </w:r>
      <w:r>
        <w:rPr>
          <w:rFonts w:hint="eastAsia" w:ascii="宋体" w:hAnsi="宋体" w:eastAsia="仿宋_GB2312"/>
          <w:b w:val="0"/>
          <w:bCs w:val="0"/>
          <w:sz w:val="32"/>
          <w:szCs w:val="32"/>
          <w:highlight w:val="none"/>
          <w:lang w:eastAsia="zh-CN"/>
        </w:rPr>
        <w:t>的</w:t>
      </w:r>
      <w:r>
        <w:rPr>
          <w:rFonts w:hint="eastAsia" w:ascii="宋体" w:hAnsi="宋体" w:eastAsia="仿宋_GB2312"/>
          <w:b w:val="0"/>
          <w:bCs w:val="0"/>
          <w:sz w:val="32"/>
          <w:szCs w:val="32"/>
          <w:highlight w:val="none"/>
        </w:rPr>
        <w:t>建设，加快农村污水治理进度，到</w:t>
      </w:r>
      <w:r>
        <w:rPr>
          <w:rFonts w:hint="eastAsia" w:ascii="宋体" w:hAnsi="宋体" w:eastAsia="宋体" w:cs="宋体"/>
          <w:b w:val="0"/>
          <w:bCs w:val="0"/>
          <w:sz w:val="32"/>
          <w:szCs w:val="32"/>
          <w:highlight w:val="none"/>
        </w:rPr>
        <w:t>2021</w:t>
      </w:r>
      <w:r>
        <w:rPr>
          <w:rFonts w:hint="eastAsia" w:ascii="宋体" w:hAnsi="宋体" w:eastAsia="仿宋_GB2312"/>
          <w:b w:val="0"/>
          <w:bCs w:val="0"/>
          <w:sz w:val="32"/>
          <w:szCs w:val="32"/>
          <w:highlight w:val="none"/>
        </w:rPr>
        <w:t>年底，力争示范区农村生活污水治理率达到</w:t>
      </w:r>
      <w:r>
        <w:rPr>
          <w:rFonts w:hint="eastAsia" w:ascii="宋体" w:hAnsi="宋体" w:eastAsia="宋体" w:cs="宋体"/>
          <w:b w:val="0"/>
          <w:bCs w:val="0"/>
          <w:sz w:val="32"/>
          <w:szCs w:val="32"/>
          <w:highlight w:val="none"/>
        </w:rPr>
        <w:t>45%</w:t>
      </w:r>
      <w:r>
        <w:rPr>
          <w:rFonts w:hint="eastAsia" w:ascii="宋体" w:hAnsi="宋体" w:eastAsia="仿宋_GB2312"/>
          <w:b w:val="0"/>
          <w:bCs w:val="0"/>
          <w:sz w:val="32"/>
          <w:szCs w:val="32"/>
          <w:highlight w:val="none"/>
        </w:rPr>
        <w:t>。（示范区生态环境局牵头，示范区农业农村局、住房和城乡建设局参与，各镇人民政府配合）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5.</w:t>
      </w:r>
      <w:r>
        <w:rPr>
          <w:rFonts w:hint="eastAsia" w:ascii="宋体" w:hAnsi="宋体" w:eastAsia="仿宋_GB2312"/>
          <w:b w:val="0"/>
          <w:bCs w:val="0"/>
          <w:sz w:val="32"/>
          <w:szCs w:val="32"/>
          <w:highlight w:val="none"/>
        </w:rPr>
        <w:t>突出重点治理区域。结合国土空间规划和村庄分类，优先治理集聚提升类、城郊融合类、特色保护类等村庄，着力打造20个“美丽乡村精品村”，重点治理黄河流域、水源保护区、黑臭水体集中区域、中心村、城乡接合部、旅游风景区等区域村庄的生活污水，年底前，基本实现平原区域生活污水管网全覆盖并常态化运行维护。污水处理设施已经建成但未正常运行的村，要进一步完善收集系统和运营机制，实现正常运营。（示范区生态环境局牵头，示范区自然资源和规划局、农业农村局、住房和城乡建设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6.</w:t>
      </w:r>
      <w:r>
        <w:rPr>
          <w:rFonts w:hint="eastAsia" w:ascii="宋体" w:hAnsi="宋体" w:eastAsia="仿宋_GB2312"/>
          <w:b w:val="0"/>
          <w:bCs w:val="0"/>
          <w:sz w:val="32"/>
          <w:szCs w:val="32"/>
          <w:highlight w:val="none"/>
        </w:rPr>
        <w:t>有序推进设施建设。加强污水治理和改厕、黑臭水体整治统筹衔接。污水管网和处理设施要一体设计建设，加强工程装备建设验收管理，特别是强化污水管网材质和施工质量监管，提高工程装备建设质量。加强资金统筹集中使用，防止支出碎片化，确保“建一个、成一个”，提高资金使用整体效益。鼓励采用污水源头减量、就近分类处置、资源化利用的治理路径，鼓励部分镇开展农村生活污水资源化利用试点工作，总结推广低成本、易维护、高效率的典型地区适用技术。（示范区生态环境局、农业农村局、住房和城乡建设局等按照职责分工负责，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7.</w:t>
      </w:r>
      <w:r>
        <w:rPr>
          <w:rFonts w:hint="eastAsia" w:ascii="宋体" w:hAnsi="宋体" w:eastAsia="仿宋_GB2312"/>
          <w:b w:val="0"/>
          <w:bCs w:val="0"/>
          <w:sz w:val="32"/>
          <w:szCs w:val="32"/>
          <w:highlight w:val="none"/>
        </w:rPr>
        <w:t>建立处理终端运行管护机制。对已建成污水的处理终端，全面排查，逐步建立运行台账，对不能正常运行的集中式污水处理终端，要逐一查明原因，分类制定整治提升方案，明确责任主体、资金来源、改进措施、运维单位和完成时限等，确保2021年10月底前达标运行。制定运行管理办法，强化设施建设与运行维护一体推进，利用智能监控平台，逐步建立农村生活污水处理设施一体运维模式。强化污水处理设施出水水质监管，持续推进日处理20吨及以上治理设施出水监测全覆盖，建立设施运行情况监管台账。（示范区生态环境局、住房和城乡建设局、农业农村局、水利局按照职责分工负责，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（三）有序开展农村黑臭水体整治</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8.</w:t>
      </w:r>
      <w:r>
        <w:rPr>
          <w:rFonts w:hint="eastAsia" w:ascii="宋体" w:hAnsi="宋体" w:eastAsia="仿宋_GB2312"/>
          <w:b w:val="0"/>
          <w:bCs w:val="0"/>
          <w:sz w:val="32"/>
          <w:szCs w:val="32"/>
          <w:highlight w:val="none"/>
        </w:rPr>
        <w:t>强化</w:t>
      </w:r>
      <w:r>
        <w:rPr>
          <w:rFonts w:ascii="宋体" w:hAnsi="宋体" w:eastAsia="仿宋_GB2312"/>
          <w:b w:val="0"/>
          <w:bCs w:val="0"/>
          <w:sz w:val="32"/>
          <w:szCs w:val="32"/>
          <w:highlight w:val="none"/>
        </w:rPr>
        <w:t>农村黑臭水体</w:t>
      </w:r>
      <w:r>
        <w:rPr>
          <w:rFonts w:hint="eastAsia" w:ascii="宋体" w:hAnsi="宋体" w:eastAsia="仿宋_GB2312"/>
          <w:b w:val="0"/>
          <w:bCs w:val="0"/>
          <w:sz w:val="32"/>
          <w:szCs w:val="32"/>
          <w:highlight w:val="none"/>
        </w:rPr>
        <w:t>系统施治。以消除较大面积农村黑臭水体为目标，统筹开展农村水系综合治理和美丽乡村建设等工作，集中治理农村生活污水、垃圾和农业面源污染，实施控源截污、清淤疏浚、生态修复、水系连通等工程，提升农村生态环境质量。根据黑臭水体污染程度、污染成因及所在地水文气候和经济发展水平，合理选择治理技术模式，因水施策，分区分类，标本兼治，杜绝采用简单填埋、河道“三面光”硬化等手段消除黑臭水体。到2021年底，完成2条农村黑臭水体治理。（示范区生态环境局牵头，示范区农业农村局、住房和城乡建设局、水利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9.</w:t>
      </w:r>
      <w:r>
        <w:rPr>
          <w:rFonts w:hint="eastAsia" w:ascii="宋体" w:hAnsi="宋体" w:eastAsia="仿宋_GB2312"/>
          <w:b w:val="0"/>
          <w:bCs w:val="0"/>
          <w:sz w:val="32"/>
          <w:szCs w:val="32"/>
          <w:highlight w:val="none"/>
        </w:rPr>
        <w:t>强化农村黑臭水体监管。各镇要在农村黑臭水体排查基础上，组织现场核实，实施分级管理，实行“拉条挂账，逐一销号”，优先整治国家监管的黑臭水体，对完成整治的黑臭水体进行监测评估。落实污染治理属地责任，推动河长制体系向村级延伸，探索建立农村黑臭水体整治长效管护机制。（示范区生态环境局牵头，示范区农业农村局、水利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（四）深入推进农村环境综合整治</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10.</w:t>
      </w:r>
      <w:r>
        <w:rPr>
          <w:rFonts w:hint="eastAsia" w:ascii="宋体" w:hAnsi="宋体" w:eastAsia="仿宋_GB2312"/>
          <w:b w:val="0"/>
          <w:bCs w:val="0"/>
          <w:sz w:val="32"/>
          <w:szCs w:val="32"/>
          <w:highlight w:val="none"/>
        </w:rPr>
        <w:t>全面完成</w:t>
      </w:r>
      <w:r>
        <w:rPr>
          <w:rFonts w:ascii="宋体" w:hAnsi="宋体" w:eastAsia="仿宋_GB2312"/>
          <w:b w:val="0"/>
          <w:bCs w:val="0"/>
          <w:sz w:val="32"/>
          <w:szCs w:val="32"/>
          <w:highlight w:val="none"/>
        </w:rPr>
        <w:t>农村环境</w:t>
      </w:r>
      <w:r>
        <w:rPr>
          <w:rFonts w:hint="eastAsia" w:ascii="宋体" w:hAnsi="宋体" w:eastAsia="仿宋_GB2312"/>
          <w:b w:val="0"/>
          <w:bCs w:val="0"/>
          <w:sz w:val="32"/>
          <w:szCs w:val="32"/>
          <w:highlight w:val="none"/>
        </w:rPr>
        <w:t>整治目标。以饮用水水源地保护、农村生活污水、黑臭水体整治为重点，持续推进农村环境整治。加强与乡村建设行动、人居环境整治提升以及各类示范村建设的统筹衔接，实现资源整合、政策集成，形成工作合力。积极推进黄河流域村庄环境综合整治，完成省定农村环境整治行政村目标。新增整治村庄应基本解决突出环境问题，达到以下三项标准要求：生活污水治理率达到90%，黑臭水体整治达到省定目标，集中式饮用水源地规范化整治完成率达到80%，村庄环境干净整洁。（示范区生态环境局牵头，示范区农业农村局、水利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11.</w:t>
      </w:r>
      <w:r>
        <w:rPr>
          <w:rFonts w:hint="eastAsia" w:ascii="宋体" w:hAnsi="宋体" w:eastAsia="仿宋_GB2312"/>
          <w:b w:val="0"/>
          <w:bCs w:val="0"/>
          <w:sz w:val="32"/>
          <w:szCs w:val="32"/>
          <w:highlight w:val="none"/>
        </w:rPr>
        <w:t>推进村庄整治提质增效。各镇要严格对照省定整治验收标准要求，组织开展“十三五”村庄整治验收和自查核查工作，原则上自查比例不低于20%，对发现的问题要及时整改，逐步完善村庄环境长效管护体制机制，确保新整治村庄“整治一个、验收一个”。2021年10月底</w:t>
      </w:r>
      <w:r>
        <w:rPr>
          <w:rFonts w:ascii="宋体" w:hAnsi="宋体" w:eastAsia="仿宋_GB2312"/>
          <w:b w:val="0"/>
          <w:bCs w:val="0"/>
          <w:sz w:val="32"/>
          <w:szCs w:val="32"/>
          <w:highlight w:val="none"/>
        </w:rPr>
        <w:t>前</w:t>
      </w:r>
      <w:r>
        <w:rPr>
          <w:rFonts w:hint="eastAsia" w:ascii="宋体" w:hAnsi="宋体" w:eastAsia="仿宋_GB2312"/>
          <w:b w:val="0"/>
          <w:bCs w:val="0"/>
          <w:sz w:val="32"/>
          <w:szCs w:val="32"/>
          <w:highlight w:val="none"/>
        </w:rPr>
        <w:t>，完成新增10个村庄环境整治。（示范区生态环境局牵头，示范区住房和城乡建设局、水利局参与，各镇人民政府配合）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（五）积极推进种植业污染防治</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12.</w:t>
      </w:r>
      <w:r>
        <w:rPr>
          <w:rFonts w:hint="eastAsia" w:ascii="宋体" w:hAnsi="宋体" w:eastAsia="仿宋_GB2312"/>
          <w:b w:val="0"/>
          <w:bCs w:val="0"/>
          <w:sz w:val="32"/>
          <w:szCs w:val="32"/>
          <w:highlight w:val="none"/>
        </w:rPr>
        <w:t>推进种植业模式生态化。以粮食主产区为重点，推进农业高效节水。发展节水农业，加大水肥一体化等节水农业技术推广力度，加强农业灌溉用水总量控制和定额管理，打造一批节水示范田。到2021年底，示范区灌溉水有效利用系数达到0.62以上。（示范区农业农村局牵头，示范区水利局、生态环境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13.</w:t>
      </w:r>
      <w:r>
        <w:rPr>
          <w:rFonts w:hint="eastAsia" w:ascii="宋体" w:hAnsi="宋体" w:eastAsia="仿宋_GB2312"/>
          <w:b w:val="0"/>
          <w:bCs w:val="0"/>
          <w:sz w:val="32"/>
          <w:szCs w:val="32"/>
          <w:highlight w:val="none"/>
        </w:rPr>
        <w:t>深入开展化肥农药减量增效。加强农业投入品规范化管理，逐步建立健全投入品追溯系统。在粮食主产区，分区分类推进科学施肥，深入推广测土配方施肥、有机肥替代化肥，探索与畜禽粪肥还田利用有机结合新路径，大力发展生态循环农业，支持有条件的镇率先打造农业绿色发展示范区。推进新型肥料产品研发与推广，提高缓释肥料等新型氮肥施用比例，因地制宜推广化肥机械深施、水肥一体化等技术。探索建立农业面源污染防治技术库。推进农药减量使用，推广新农药、新药械等绿色防控技术和高效大中型植保机械应用。支持新型经营主体、社会化服务组织等开展肥料统配统施、病虫害统防统治等服务，开展全国绿色防控示范田创建活动，引导各镇推进绿色防控和统防统治，提高农药利用率。到2021年底，示范区主要农作物化肥利用率稳定在40%以上，农药利用率达到40.8%以上。（示范区农业农村局牵头，示范区生态环境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14.</w:t>
      </w:r>
      <w:r>
        <w:rPr>
          <w:rFonts w:hint="eastAsia" w:ascii="宋体" w:hAnsi="宋体" w:eastAsia="仿宋_GB2312"/>
          <w:b w:val="0"/>
          <w:bCs w:val="0"/>
          <w:sz w:val="32"/>
          <w:szCs w:val="32"/>
          <w:highlight w:val="none"/>
        </w:rPr>
        <w:t>统筹推进农业废弃物资源化利用。推进农膜回收利用。加快推广标准地膜，引导开展全生物降解地膜试验和示范应用，推进地膜源头减量，鼓励实施农膜及农药包装废弃物回收绿色补偿制度，完善回收利用体系和长效机制，推动生产者、销售者和使用者落实回收责任，加强农田残留地膜、化肥农药塑料包装等监测和清理整治工作，推进塑料污染治理。到2021年底，示范区农膜回收率稳定在90%以上。健全秸秆收储供应体系，推广深耕还田和青贮、氨化实用技术，提升秸秆“五料化”利用水平。抓好秸秆综合利用示范点建设，强化各镇政府秸秆综合利用和禁烧主体责任，推动秸秆禁烧和综合利用常态化。在种养密集区域，探索推进畜禽粪污、秸秆、农田残膜、农村垃圾等废弃物全量资源化利用。到2021年底，秸秆综合利用率达到91%以上。（示范区农业农村局牵头，示范区生态环境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（六）全面推进绿色养殖</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15.</w:t>
      </w:r>
      <w:r>
        <w:rPr>
          <w:rFonts w:hint="eastAsia" w:ascii="宋体" w:hAnsi="宋体" w:eastAsia="仿宋_GB2312"/>
          <w:b w:val="0"/>
          <w:bCs w:val="0"/>
          <w:sz w:val="32"/>
          <w:szCs w:val="32"/>
          <w:highlight w:val="none"/>
        </w:rPr>
        <w:t>加强畜禽养殖污染防治。根据省定畜禽养殖业污染防治技术规范，推动种养合理布局和有效衔接，规范畜禽养殖禁养区划定与管理。加快推进畜禽粪污资源化利用试点项目建设，不断提升畜禽规模养殖场粪污处理设施装备水平。大力推广全量收集、发酵制肥、液体粪肥机械化还田等新工艺、新技术、新装备，努力构建“政府支持、企业主体、市场化运行”的社会化服务新机制，加快打通粪肥就近还田利用“最后一公里”。到2021年底，畜禽粪污综合利用率达到81%以上。（示范区农业农村局牵头，示范区发展改革和统计局、财政金融局、生态环境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（七）加强农业面源污染治理监督指导</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16.</w:t>
      </w:r>
      <w:r>
        <w:rPr>
          <w:rFonts w:hint="eastAsia" w:ascii="宋体" w:hAnsi="宋体" w:eastAsia="仿宋_GB2312"/>
          <w:b w:val="0"/>
          <w:bCs w:val="0"/>
          <w:sz w:val="32"/>
          <w:szCs w:val="32"/>
          <w:highlight w:val="none"/>
        </w:rPr>
        <w:t>开展农业污染源调查监测。完善化肥农药使用量调查核算方法，整合统计、农业农村、市场监管等部门数据，逐步摸清化肥农药使用变化情况。利用实地调研、台账抽查、智能终端采集等方式，对化肥农药投入、畜禽和水产养殖等污染物排放情况进行抽查核实。对大中型灌区进行农田灌溉用水定期监测，对规模畜禽养殖场等出水水质进行监测，掌握农业面源污染物产生和排放情况。（示范区生态环境局牵头，示范区农业农村局、发展改革和统计局、市场监管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17.</w:t>
      </w:r>
      <w:r>
        <w:rPr>
          <w:rFonts w:hint="eastAsia" w:ascii="宋体" w:hAnsi="宋体" w:eastAsia="仿宋_GB2312"/>
          <w:b w:val="0"/>
          <w:bCs w:val="0"/>
          <w:sz w:val="32"/>
          <w:szCs w:val="32"/>
          <w:highlight w:val="none"/>
        </w:rPr>
        <w:t>加强养殖业环境监管。按照《畜禽规模养殖污染防治条例》，到2021年9月底前完成畜禽养殖场、养殖小区的具体规模标准备案工作。严格畜禽养殖环境监管执法，对无证排污、不按证排污、污染防治设施配套不到位、粪污未经无害化处理直接还田或向环境排放，不符合国家和地方排放标准的，要依法查处。（示范区生态环境局、农业农村局按照职责分工负责，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18.</w:t>
      </w:r>
      <w:r>
        <w:rPr>
          <w:rFonts w:hint="eastAsia" w:ascii="宋体" w:hAnsi="宋体" w:eastAsia="仿宋_GB2312"/>
          <w:b w:val="0"/>
          <w:bCs w:val="0"/>
          <w:sz w:val="32"/>
          <w:szCs w:val="32"/>
          <w:highlight w:val="none"/>
        </w:rPr>
        <w:t>建设农业面源污染监管平台。系统整合农田氮磷流失监测、地表水生态环境质量监测、农村环境质量监测等数据，实现从污染源到生态环境监测数据互联互通。加强农业源普查、生态环境统计、畜禽粪污综合利用信息、排污许可等数据共享。持续推进农业投入结构调整。（示范区生态环境局牵头，示范区农业农村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 w:val="0"/>
          <w:bCs w:val="0"/>
          <w:sz w:val="32"/>
          <w:szCs w:val="32"/>
          <w:highlight w:val="none"/>
        </w:rPr>
      </w:pPr>
      <w:r>
        <w:rPr>
          <w:rFonts w:hint="eastAsia" w:ascii="宋体" w:hAnsi="宋体" w:eastAsia="楷体_GB2312" w:cs="楷体_GB2312"/>
          <w:b w:val="0"/>
          <w:bCs w:val="0"/>
          <w:sz w:val="32"/>
          <w:szCs w:val="32"/>
          <w:highlight w:val="none"/>
        </w:rPr>
        <w:t>（八）提升农业农村生态环境监管能力</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19.</w:t>
      </w:r>
      <w:r>
        <w:rPr>
          <w:rFonts w:hint="eastAsia" w:ascii="宋体" w:hAnsi="宋体" w:eastAsia="仿宋_GB2312"/>
          <w:b w:val="0"/>
          <w:bCs w:val="0"/>
          <w:sz w:val="32"/>
          <w:szCs w:val="32"/>
          <w:highlight w:val="none"/>
        </w:rPr>
        <w:t>健全监测网络。加强农业农村环境监测网络建设。到2025年底，具备条件的镇纳入全省农村环境质量监测点位全覆盖。（示范区生态环境局牵头，示范区农业农村局参与，各镇人民政府配合）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20.</w:t>
      </w:r>
      <w:r>
        <w:rPr>
          <w:rFonts w:hint="eastAsia" w:ascii="宋体" w:hAnsi="宋体" w:eastAsia="仿宋_GB2312"/>
          <w:b w:val="0"/>
          <w:bCs w:val="0"/>
          <w:sz w:val="32"/>
          <w:szCs w:val="32"/>
          <w:highlight w:val="none"/>
        </w:rPr>
        <w:t>加强生态环境执法与应急。加强农业农村生态环境执法，将农业农村生态环境保护相关工作纳入日常执法内容，开展“双随机一公开”执法检查，提升执法装备水平。组织开展监管执法和应急工作培训，提升执法监督和应急能力。逐步建立农业农村生态环境监管技术支撑团队。（示范区农业农村局、生态环境局牵头，相关部门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宋体" w:cs="宋体"/>
          <w:b w:val="0"/>
          <w:bCs w:val="0"/>
          <w:sz w:val="32"/>
          <w:szCs w:val="32"/>
          <w:highlight w:val="none"/>
        </w:rPr>
        <w:t>21.</w:t>
      </w:r>
      <w:r>
        <w:rPr>
          <w:rFonts w:hint="eastAsia" w:ascii="宋体" w:hAnsi="宋体" w:eastAsia="仿宋_GB2312"/>
          <w:b w:val="0"/>
          <w:bCs w:val="0"/>
          <w:sz w:val="32"/>
          <w:szCs w:val="32"/>
          <w:highlight w:val="none"/>
        </w:rPr>
        <w:t>完善经济政策。要统筹利用农业农村、城乡建设、生态环境保护等资金，逐步加大农村生态环境保护资金投入，并将土地出让金、生态功能转移支付金等按照一定的比例支持农村环境整治，建立稳定的农业农村污染治理经费渠道。鼓励符合条件的项目申请使用政策性银行贷款，规范政府和社会资本合作（PPP）模式，吸引社会资金投入。（示范区财政金融局牵头，示范区生态环境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仿宋_GB2312"/>
          <w:b w:val="0"/>
          <w:bCs w:val="0"/>
          <w:sz w:val="32"/>
          <w:szCs w:val="32"/>
          <w:highlight w:val="none"/>
        </w:rPr>
        <w:t>落实农村生活污水治理（农村黑臭水体治理）用电政策，设施用电执行农业生产电价标准，并优先纳入用电安排。鼓励有条件镇探索农村生活污水处理收费政策。（示范区发展改革和统计局牵头，示范区生态环境局、农业农村局参与，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仿宋_GB2312"/>
          <w:b w:val="0"/>
          <w:bCs w:val="0"/>
          <w:sz w:val="32"/>
          <w:szCs w:val="32"/>
          <w:highlight w:val="none"/>
        </w:rPr>
        <w:t>制定并明确施行简易审批的村庄建设项目范围，开设农村环境整治建设项目的“绿色通道”。完善农村环境整治项目管理制度，加强项目储备库建设，提高项目质量，对进入中央项目储备库的项目，优先予以专项资金和国开行等政策性银行低息贷款支持。做好项目实施情况监督和验收工作，提高项目资金成效和执行率。（示范区发展改革和统计局、自然资源和规划局、农业农村局、生态环境局</w:t>
      </w:r>
      <w:r>
        <w:rPr>
          <w:rFonts w:hint="eastAsia" w:ascii="宋体" w:hAnsi="宋体" w:eastAsia="仿宋_GB2312"/>
          <w:b w:val="0"/>
          <w:bCs w:val="0"/>
          <w:sz w:val="32"/>
          <w:szCs w:val="32"/>
          <w:highlight w:val="none"/>
          <w:lang w:eastAsia="zh-CN"/>
        </w:rPr>
        <w:t>按职责分工负责</w:t>
      </w:r>
      <w:r>
        <w:rPr>
          <w:rFonts w:hint="eastAsia" w:ascii="宋体" w:hAnsi="宋体" w:eastAsia="仿宋_GB2312"/>
          <w:b w:val="0"/>
          <w:bCs w:val="0"/>
          <w:sz w:val="32"/>
          <w:szCs w:val="32"/>
          <w:highlight w:val="none"/>
        </w:rPr>
        <w:t>，各镇人民政府配合）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ascii="宋体" w:hAnsi="宋体" w:eastAsia="黑体" w:cs="黑体"/>
          <w:b w:val="0"/>
          <w:bCs w:val="0"/>
          <w:szCs w:val="32"/>
          <w:highlight w:val="none"/>
        </w:rPr>
      </w:pPr>
      <w:r>
        <w:rPr>
          <w:rFonts w:hint="eastAsia" w:ascii="宋体" w:hAnsi="宋体" w:eastAsia="黑体" w:cs="黑体"/>
          <w:b w:val="0"/>
          <w:bCs w:val="0"/>
          <w:sz w:val="32"/>
          <w:szCs w:val="32"/>
          <w:highlight w:val="none"/>
        </w:rPr>
        <w:t>三、保障措施</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楷体_GB2312" w:cs="楷体_GB2312"/>
          <w:b w:val="0"/>
          <w:bCs w:val="0"/>
          <w:sz w:val="32"/>
          <w:szCs w:val="32"/>
          <w:highlight w:val="none"/>
        </w:rPr>
        <w:t>（一）加强组织领导。</w:t>
      </w:r>
      <w:r>
        <w:rPr>
          <w:rFonts w:hint="eastAsia" w:ascii="宋体" w:hAnsi="宋体" w:eastAsia="仿宋_GB2312"/>
          <w:b w:val="0"/>
          <w:bCs w:val="0"/>
          <w:sz w:val="32"/>
          <w:szCs w:val="32"/>
          <w:highlight w:val="none"/>
        </w:rPr>
        <w:t>建立完善工作推进机制。有关部门要密切协作配合，形成工作合力，加强污染治理信息共享，定期会商、督导评估，形成齐抓共管的工作格局。各镇人民政府对本辖区农村生态环境质量负责，要将农业农村污染治理作为实施乡村振兴战略和污染防治攻坚战的重要内容，列入年度工作计划，明确牵头责任部门、实施主体、完成时限，加强督查督办和考核考评。各镇人民政府要强化主体责任，做好项目落地、资金使用、组织实施等工作。强化农村基层党组织领导核心地位，发挥农村党员先锋模范作用和群团组织作用，引导带领村民参与农业农村污染治理。</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楷体_GB2312" w:cs="楷体_GB2312"/>
          <w:b w:val="0"/>
          <w:bCs w:val="0"/>
          <w:sz w:val="32"/>
          <w:szCs w:val="32"/>
          <w:highlight w:val="none"/>
        </w:rPr>
        <w:t>（二）突出村民主体。</w:t>
      </w:r>
      <w:r>
        <w:rPr>
          <w:rFonts w:hint="eastAsia" w:ascii="宋体" w:hAnsi="宋体" w:eastAsia="仿宋_GB2312"/>
          <w:b w:val="0"/>
          <w:bCs w:val="0"/>
          <w:sz w:val="32"/>
          <w:szCs w:val="32"/>
          <w:highlight w:val="none"/>
        </w:rPr>
        <w:t>将农村生态文明建设的内容纳入村规民约，强化村委会在农业农村环境保护工作中协助推进污水、垃圾和黑臭水体治理，农业面源污染防治的责任。鼓励村民和村集体经济组织全程参与农业农村生态环境保护，逐步建立农民参与垃圾分类、农业废弃物资源化利用的直接受益机制，探索农村生活污水和黑臭水体治理新型运维管理模式。引导村民以投工投劳等方式参与设施建设与运行管理。指导农民科学使用农药、肥料、农膜等农业投入品，合理处置畜禽粪污等农业废弃物，提升村民环境素养。发挥</w:t>
      </w:r>
      <w:r>
        <w:rPr>
          <w:rFonts w:hint="eastAsia" w:ascii="宋体" w:hAnsi="宋体" w:eastAsia="仿宋_GB2312" w:cs="仿宋_GB2312"/>
          <w:b w:val="0"/>
          <w:bCs w:val="0"/>
          <w:sz w:val="32"/>
          <w:szCs w:val="32"/>
          <w:highlight w:val="none"/>
        </w:rPr>
        <w:t>12369</w:t>
      </w:r>
      <w:r>
        <w:rPr>
          <w:rFonts w:hint="eastAsia" w:ascii="宋体" w:hAnsi="宋体" w:eastAsia="仿宋_GB2312"/>
          <w:b w:val="0"/>
          <w:bCs w:val="0"/>
          <w:sz w:val="32"/>
          <w:szCs w:val="32"/>
          <w:highlight w:val="none"/>
        </w:rPr>
        <w:t>环保举报热线、微信微博、短视频</w:t>
      </w:r>
      <w:r>
        <w:rPr>
          <w:rFonts w:hint="eastAsia" w:ascii="宋体" w:hAnsi="宋体" w:eastAsia="仿宋_GB2312" w:cs="仿宋_GB2312"/>
          <w:b w:val="0"/>
          <w:bCs w:val="0"/>
          <w:sz w:val="32"/>
          <w:szCs w:val="32"/>
          <w:highlight w:val="none"/>
        </w:rPr>
        <w:t>APP</w:t>
      </w:r>
      <w:r>
        <w:rPr>
          <w:rFonts w:hint="eastAsia" w:ascii="宋体" w:hAnsi="宋体" w:eastAsia="仿宋_GB2312"/>
          <w:b w:val="0"/>
          <w:bCs w:val="0"/>
          <w:sz w:val="32"/>
          <w:szCs w:val="32"/>
          <w:highlight w:val="none"/>
        </w:rPr>
        <w:t>及网站等渠道作用，鼓励村民监督，推动全民共建共治共享。</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b w:val="0"/>
          <w:bCs w:val="0"/>
          <w:szCs w:val="32"/>
          <w:highlight w:val="none"/>
        </w:rPr>
      </w:pPr>
      <w:r>
        <w:rPr>
          <w:rFonts w:hint="eastAsia" w:ascii="宋体" w:hAnsi="宋体" w:eastAsia="楷体_GB2312" w:cs="楷体_GB2312"/>
          <w:b w:val="0"/>
          <w:bCs w:val="0"/>
          <w:sz w:val="32"/>
          <w:szCs w:val="32"/>
          <w:highlight w:val="none"/>
        </w:rPr>
        <w:t>（三）严格监督考核。</w:t>
      </w:r>
      <w:r>
        <w:rPr>
          <w:rFonts w:hint="eastAsia" w:ascii="宋体" w:hAnsi="宋体" w:eastAsia="仿宋_GB2312"/>
          <w:b w:val="0"/>
          <w:bCs w:val="0"/>
          <w:sz w:val="32"/>
          <w:szCs w:val="32"/>
          <w:highlight w:val="none"/>
        </w:rPr>
        <w:t>示范区将把农业农村生态环境保护工作作为当地党委和政府目标责任考核、干部政绩考核的重要内容，严格落实农村生态环境保护“党政同责”、“一岗双责”。将农业农村污染治理突出问题纳入生态环境保护督察范畴，重点关注农村污水垃圾和黑臭水体治理、化肥农药减量化、养殖粪污综合治理、地膜综合利用等面源污染防治重点领域工作推进情况；对污染问题严重、治理工作推进不力的严肃问责。</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b w:val="0"/>
          <w:bCs w:val="0"/>
          <w:sz w:val="32"/>
          <w:szCs w:val="32"/>
          <w:highlight w:val="none"/>
        </w:rPr>
      </w:pPr>
      <w:r>
        <w:rPr>
          <w:rFonts w:hint="eastAsia" w:ascii="宋体" w:hAnsi="宋体" w:eastAsia="楷体_GB2312" w:cs="楷体_GB2312"/>
          <w:b w:val="0"/>
          <w:bCs w:val="0"/>
          <w:sz w:val="32"/>
          <w:szCs w:val="32"/>
          <w:highlight w:val="none"/>
        </w:rPr>
        <w:t>（四）营造良好氛围。</w:t>
      </w:r>
      <w:r>
        <w:rPr>
          <w:rFonts w:hint="eastAsia" w:ascii="宋体" w:hAnsi="宋体" w:eastAsia="仿宋_GB2312"/>
          <w:b w:val="0"/>
          <w:bCs w:val="0"/>
          <w:sz w:val="32"/>
          <w:szCs w:val="32"/>
          <w:highlight w:val="none"/>
        </w:rPr>
        <w:t>充分利用电视、广播、报刊、互联网、微信公众号等媒体，结合世界环境日、世界土壤日等重要环保宣传活动和“美丽中国，我是行动者”主题系列活动，采取群众喜闻乐见的形式，倡导简约适度、绿色低碳的生产生活方式，大力宣传农业农村生态环境保护的重要意义和政策措施，推进农业农村生态环境保护融入党政机关、学校、工厂、社区、农村等环境宣传培训工作，努力形成全社会关心、支持农业农村污染治理的良好氛围。</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b w:val="0"/>
          <w:bCs w:val="0"/>
          <w:sz w:val="32"/>
          <w:szCs w:val="32"/>
          <w:highlight w:val="none"/>
        </w:rPr>
      </w:pPr>
    </w:p>
    <w:p>
      <w:pPr>
        <w:keepNext w:val="0"/>
        <w:keepLines w:val="0"/>
        <w:pageBreakBefore w:val="0"/>
        <w:widowControl w:val="0"/>
        <w:kinsoku/>
        <w:wordWrap/>
        <w:overflowPunct/>
        <w:topLinePunct w:val="0"/>
        <w:autoSpaceDE/>
        <w:autoSpaceDN/>
        <w:bidi w:val="0"/>
        <w:adjustRightInd/>
        <w:snapToGrid/>
        <w:spacing w:line="590" w:lineRule="exact"/>
        <w:ind w:left="1598" w:leftChars="304" w:hanging="960" w:hangingChars="300"/>
        <w:jc w:val="left"/>
        <w:textAlignment w:val="auto"/>
        <w:rPr>
          <w:rFonts w:hint="eastAsia" w:ascii="宋体" w:hAnsi="宋体" w:eastAsia="仿宋_GB2312"/>
          <w:b w:val="0"/>
          <w:bCs w:val="0"/>
          <w:sz w:val="32"/>
          <w:szCs w:val="32"/>
          <w:highlight w:val="none"/>
        </w:rPr>
        <w:sectPr>
          <w:footerReference r:id="rId10" w:type="default"/>
          <w:pgSz w:w="11906" w:h="16838"/>
          <w:pgMar w:top="1871" w:right="1474" w:bottom="1701" w:left="1587" w:header="851" w:footer="1531" w:gutter="0"/>
          <w:pgNumType w:fmt="decimal" w:start="80"/>
          <w:cols w:space="0" w:num="1"/>
          <w:docGrid w:type="lines" w:linePitch="324" w:charSpace="0"/>
        </w:sectPr>
      </w:pPr>
      <w:r>
        <w:rPr>
          <w:rFonts w:hint="eastAsia" w:ascii="宋体" w:hAnsi="宋体" w:eastAsia="仿宋_GB2312"/>
          <w:b w:val="0"/>
          <w:bCs w:val="0"/>
          <w:sz w:val="32"/>
          <w:szCs w:val="32"/>
          <w:highlight w:val="none"/>
        </w:rPr>
        <w:t>附件：济源产城融合示范区2021年农业农村污染治理工作任务分解台账</w:t>
      </w:r>
    </w:p>
    <w:p>
      <w:pPr>
        <w:keepNext w:val="0"/>
        <w:keepLines w:val="0"/>
        <w:pageBreakBefore w:val="0"/>
        <w:widowControl w:val="0"/>
        <w:kinsoku/>
        <w:wordWrap/>
        <w:overflowPunct/>
        <w:topLinePunct w:val="0"/>
        <w:autoSpaceDE/>
        <w:autoSpaceDN/>
        <w:bidi w:val="0"/>
        <w:spacing w:line="700" w:lineRule="exact"/>
        <w:jc w:val="left"/>
        <w:rPr>
          <w:rFonts w:ascii="宋体" w:hAnsi="宋体" w:eastAsia="黑体" w:cs="黑体"/>
          <w:sz w:val="32"/>
          <w:szCs w:val="32"/>
          <w:highlight w:val="none"/>
        </w:rPr>
      </w:pPr>
      <w:r>
        <w:rPr>
          <w:rFonts w:hint="eastAsia" w:ascii="宋体" w:hAnsi="宋体" w:eastAsia="黑体" w:cs="黑体"/>
          <w:sz w:val="32"/>
          <w:szCs w:val="32"/>
          <w:highlight w:val="none"/>
        </w:rPr>
        <w:t>附</w:t>
      </w:r>
      <w:r>
        <w:rPr>
          <w:rFonts w:hint="eastAsia" w:ascii="宋体" w:hAnsi="宋体" w:eastAsia="黑体" w:cs="黑体"/>
          <w:sz w:val="32"/>
          <w:szCs w:val="32"/>
          <w:highlight w:val="none"/>
          <w:lang w:val="en-US" w:eastAsia="zh-CN"/>
        </w:rPr>
        <w:t xml:space="preserve"> </w:t>
      </w:r>
      <w:r>
        <w:rPr>
          <w:rFonts w:hint="eastAsia" w:ascii="宋体" w:hAnsi="宋体" w:eastAsia="黑体" w:cs="黑体"/>
          <w:sz w:val="32"/>
          <w:szCs w:val="32"/>
          <w:highlight w:val="none"/>
        </w:rPr>
        <w:t>件</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_GBK" w:cs="方正小标宋_GBK"/>
          <w:sz w:val="44"/>
          <w:szCs w:val="44"/>
          <w:highlight w:val="none"/>
        </w:rPr>
      </w:pPr>
      <w:r>
        <w:rPr>
          <w:rFonts w:hint="eastAsia" w:ascii="宋体" w:hAnsi="宋体" w:eastAsia="方正小标宋_GBK" w:cs="方正小标宋_GBK"/>
          <w:sz w:val="44"/>
          <w:szCs w:val="44"/>
          <w:highlight w:val="none"/>
        </w:rPr>
        <w:t>济源产城融合示范区</w:t>
      </w:r>
    </w:p>
    <w:p>
      <w:pPr>
        <w:keepNext w:val="0"/>
        <w:keepLines w:val="0"/>
        <w:pageBreakBefore w:val="0"/>
        <w:widowControl w:val="0"/>
        <w:kinsoku/>
        <w:wordWrap/>
        <w:overflowPunct/>
        <w:topLinePunct w:val="0"/>
        <w:autoSpaceDE/>
        <w:autoSpaceDN/>
        <w:bidi w:val="0"/>
        <w:spacing w:line="700" w:lineRule="exact"/>
        <w:jc w:val="center"/>
        <w:rPr>
          <w:rFonts w:hint="eastAsia" w:ascii="宋体" w:hAnsi="宋体" w:eastAsia="方正小标宋简体" w:cs="方正小标宋简体"/>
          <w:sz w:val="44"/>
          <w:szCs w:val="44"/>
          <w:highlight w:val="none"/>
        </w:rPr>
      </w:pPr>
      <w:r>
        <w:rPr>
          <w:rFonts w:hint="eastAsia" w:ascii="宋体" w:hAnsi="宋体" w:eastAsia="方正小标宋_GBK" w:cs="方正小标宋_GBK"/>
          <w:sz w:val="44"/>
          <w:szCs w:val="44"/>
          <w:highlight w:val="none"/>
        </w:rPr>
        <w:t>2021年农业农村污染治理工作任务分解台账</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方正小标宋简体" w:cs="方正小标宋简体"/>
          <w:bCs/>
          <w:kern w:val="4"/>
          <w:sz w:val="44"/>
          <w:szCs w:val="44"/>
          <w:highlight w:val="none"/>
        </w:rPr>
      </w:pPr>
    </w:p>
    <w:tbl>
      <w:tblPr>
        <w:tblStyle w:val="15"/>
        <w:tblW w:w="147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89"/>
        <w:gridCol w:w="2087"/>
        <w:gridCol w:w="6285"/>
        <w:gridCol w:w="1560"/>
        <w:gridCol w:w="1995"/>
        <w:gridCol w:w="2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77" w:hRule="atLeast"/>
          <w:tblHeader/>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序号</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工作任务</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具体事项</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负责单位</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配合单位</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黑体" w:cs="黑体"/>
                <w:bCs/>
                <w:szCs w:val="21"/>
                <w:highlight w:val="none"/>
              </w:rPr>
            </w:pPr>
            <w:r>
              <w:rPr>
                <w:rFonts w:hint="eastAsia" w:ascii="宋体" w:hAnsi="宋体" w:eastAsia="黑体" w:cs="黑体"/>
                <w:bCs/>
                <w:szCs w:val="21"/>
                <w:highlight w:val="none"/>
              </w:rPr>
              <w:t>工作或时限要求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31"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巩固镇级集中式饮用水水源保护区划定成果</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szCs w:val="21"/>
                <w:highlight w:val="none"/>
              </w:rPr>
              <w:t>组织有关部门开展镇级集中式饮用水水源保护区划定标志保护工作，不断推进水源地规范化建设。将饮用水水源保护要求和村民应承担的保护责任纳入村规民约。</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生态环境局、水利局按照职责分工负责</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41"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开展水源地环境风险排查整治</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全面排查农村供水人口在 10000 人或日供水 1000 吨以上的（以下简称“千吨万人”）饮用水水源地保护区内影响水质安全的生活污水垃圾、畜禽养殖等风险源，并进行规范化整治。制定饮用水水源地整治方案，根据水源地环境风险排查和环境监测结果，采取相应措施，确保农村饮水安全。</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水利局、农业农村局、</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住房和城乡建设局、自然资源和规划局、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01"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3</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加强农村饮用水水源地生态环境监管</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实施从水源地到水龙头的全过程控制，落实水源保护、工程建设、水质监测检测“三同时”制度。健全定期监测报告、应急事件处置、违法行为举报、水源信息公开、监督考核评价等工作机制。“千吨万人”农村饮用水水源地每季度监测评估一次，结果由有关部门向社会公开，并将“千吨万人”农村饮用水水源地纳入日常监测和环境监督执法范畴。将农村地表饮用水水源地保护纳入河长制湖长制，落实饮用水水源地保护责任。</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生态环境局、卫生健康委、水利局、住房和城乡建设局按照职责分工负责</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6"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4</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加快推进农村污水治理设施建设</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szCs w:val="21"/>
                <w:highlight w:val="none"/>
              </w:rPr>
              <w:t>加快推进平原区域新增60千米污水主管网、平原区域新增的110个接入市政管网及49个自建终端处理村（居）支管网的建设。</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农业农村局、住房和城乡建设局、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5</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突出重点治理区域</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bCs/>
                <w:szCs w:val="21"/>
                <w:highlight w:val="none"/>
              </w:rPr>
            </w:pPr>
            <w:r>
              <w:rPr>
                <w:rFonts w:hint="eastAsia" w:ascii="宋体" w:hAnsi="宋体" w:cs="宋体"/>
                <w:szCs w:val="21"/>
                <w:highlight w:val="none"/>
              </w:rPr>
              <w:t>结合国土空间规划和村庄分类，优先治理集聚提升类、城郊融合类、特色保护类等村庄，着力打造20个“美丽乡村精品村”，重点治理黄河流域、水源保护区、黑臭水体集中区域、中心村、城乡接合部、旅游风景区等区域村庄的生活污水，年底前，基本实现平原区域生活污水管网全覆盖并常态化运行维护。污水处理设施已经建成但未正常运行的村，要进一步完善收集系统和运营机制，实现正常运营。</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自然</w:t>
            </w:r>
            <w:r>
              <w:rPr>
                <w:rFonts w:hint="eastAsia" w:ascii="宋体" w:hAnsi="宋体" w:cs="宋体"/>
                <w:szCs w:val="21"/>
                <w:highlight w:val="none"/>
                <w:lang w:eastAsia="zh-CN"/>
              </w:rPr>
              <w:t>和规划</w:t>
            </w:r>
            <w:r>
              <w:rPr>
                <w:rFonts w:hint="eastAsia" w:ascii="宋体" w:hAnsi="宋体" w:cs="宋体"/>
                <w:szCs w:val="21"/>
                <w:highlight w:val="none"/>
              </w:rPr>
              <w:t>资源局、农业农村局、住房和城乡建设局、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6</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有序推进污水处理设施建设</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污水管网和处理设施要一体设计建设， 特别是强化污水管网材质和施工质量监管，提高工程装备建设质量。鼓励采用污水源头减量、就近分类处置、资源化利用的治理路径，鼓励部分镇开展农村生活污水资源化利用试点工作，总结推广低成本、易维护、高效率的典型地区适用技术。</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生态环境局、农业农村局、住房和城乡建设局等按照职责分工负责</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7</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建立污水处理终端运行管护机制</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对已建成污水的处理终端，全面排查，逐步建立运行台账，对不能正常运行的集中式污水处理终端，要逐一查明原因，分类制定整治提升方案，明确责任主体、资金来源、改进措施、运维单位和完成时限等，确保2021年10 月底前达标运行。制定运行管理办法，强化设施建设与运行维护一体推进，利用智能监控平台，逐步建立农村生活污水处理设施一体运维模式。</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宋体" w:cs="宋体"/>
                <w:szCs w:val="21"/>
                <w:highlight w:val="none"/>
                <w:lang w:eastAsia="zh-CN"/>
              </w:rPr>
            </w:pPr>
            <w:r>
              <w:rPr>
                <w:rFonts w:hint="eastAsia" w:ascii="宋体" w:hAnsi="宋体" w:cs="宋体"/>
                <w:szCs w:val="21"/>
                <w:highlight w:val="none"/>
              </w:rPr>
              <w:t>生态环境局</w:t>
            </w:r>
            <w:r>
              <w:rPr>
                <w:rFonts w:hint="eastAsia" w:ascii="宋体" w:hAnsi="宋体" w:cs="宋体"/>
                <w:szCs w:val="21"/>
                <w:highlight w:val="none"/>
                <w:lang w:eastAsia="zh-CN"/>
              </w:rPr>
              <w:t>、</w:t>
            </w:r>
            <w:r>
              <w:rPr>
                <w:rFonts w:hint="eastAsia" w:ascii="宋体" w:hAnsi="宋体" w:cs="宋体"/>
                <w:szCs w:val="21"/>
                <w:highlight w:val="none"/>
              </w:rPr>
              <w:t>住房和城乡建设局农业农村局、水利局等按照职责分工负责</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szCs w:val="21"/>
                <w:highlight w:val="none"/>
              </w:rPr>
              <w:t>10月底前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8</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强化农村黑臭水体系统施治</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根据黑臭水体污染程度、污染成因及所在地水文气候和经济发展水平，合理选择治理技术模式，因水施策，分区分类，标本兼治，杜绝采用简单填埋、河道“三面光”硬化等手段消除黑臭水体。到2021年年底，完成2条农村黑臭水体治理。</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农业农村局、住房和城乡建设局、水利局、</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9</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强化农村黑臭水体监管</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各镇要在农村黑臭水体排查基础上，组织现场核实，实施分级管理，实行“拉条挂账，逐一销号”，优先整治国家监管的黑臭水体，对完成整治的黑臭水体进行监测评估。</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农业农村局、水利局、</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68"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10</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全面完成农村环境整治目标</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以饮用水水源地保护、农村生活污水、黑臭水体整治为重点，持续推进农村环境整治。2021年10月底前，完成新增10个村庄环境整治，新增整治村庄应基本解决突出环境问题，达到以下三项标准要求：生活污水治理率达到 90%，黑臭水体整治达到省定目标，集中式饮用水源地规范化整治完成率达到 80%，村庄环境干净整洁。</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w:t>
            </w:r>
            <w:r>
              <w:rPr>
                <w:rFonts w:hint="eastAsia" w:ascii="宋体" w:hAnsi="宋体" w:cs="宋体"/>
                <w:szCs w:val="21"/>
                <w:highlight w:val="none"/>
                <w:lang w:eastAsia="zh-CN"/>
              </w:rPr>
              <w:t>、</w:t>
            </w:r>
            <w:r>
              <w:rPr>
                <w:rFonts w:hint="eastAsia" w:ascii="宋体" w:hAnsi="宋体" w:cs="宋体"/>
                <w:szCs w:val="21"/>
                <w:highlight w:val="none"/>
              </w:rPr>
              <w:t>水利局、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25" w:hRule="atLeast"/>
          <w:jc w:val="center"/>
        </w:trPr>
        <w:tc>
          <w:tcPr>
            <w:tcW w:w="7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11</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推进村庄</w:t>
            </w:r>
            <w:r>
              <w:rPr>
                <w:rFonts w:hint="eastAsia" w:ascii="宋体" w:hAnsi="宋体" w:cs="宋体"/>
                <w:szCs w:val="21"/>
                <w:highlight w:val="none"/>
              </w:rPr>
              <w:t>整治</w:t>
            </w:r>
            <w:r>
              <w:rPr>
                <w:rFonts w:hint="eastAsia" w:ascii="宋体" w:hAnsi="宋体" w:cs="宋体"/>
                <w:bCs/>
                <w:szCs w:val="21"/>
                <w:highlight w:val="none"/>
              </w:rPr>
              <w:t>提质增效</w:t>
            </w:r>
          </w:p>
        </w:tc>
        <w:tc>
          <w:tcPr>
            <w:tcW w:w="62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各镇要严格对照省定整治验收标准要求，组织开展“十三五”村庄整治验收和自查核查工作，原则上自查比例不低于20%，对发现的问题要及时整改，逐步完善村庄环境长效管护体制机制，确保新整治村庄“整治一个、验收一个”。2021年10月底前，完成新增10个村庄环境整治。</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住房和城乡建设局、水利局、各镇人民政府</w:t>
            </w:r>
          </w:p>
        </w:tc>
        <w:tc>
          <w:tcPr>
            <w:tcW w:w="2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10月底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90"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12</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推进种植业模式生态化</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以粮食主产区为重点，推进农业高效节水。发展节水农业，加大水肥一体化等节水农业技术推广力度，加强农业灌溉用水总量控制和定额管理，打造一批节水示范田。到 2021年年底，示范区灌溉水有效利用系数达到 0.62 以上。</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水利局、生态环境局、</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3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13</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深入开展化肥农药减量增效</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在粮食主产区，分区分类推进科学施肥，深入推广测土配方施肥、有机肥替代化肥，探索与畜禽粪肥还田利用有机结合新路径，大力发展生态循环农业，支持有条件的镇率先打造农业绿色发展示范区。推进新型肥料产品研发与推广，提高缓释肥料等新型氮肥施用比例，因地制宜推广化肥机械深施、水肥一体化等技术。推进农药减量使用，推广新农药、新药械等绿色防控技术和高效大中型植保机械应用。支持新型经营主体、社会化服务组织等开展肥料统配统施、病虫害统防统治等服务，开展全国绿色防控示范田创建活动，引导各镇推进绿色防控和统防统治，提高农药利用率。到 2021年底，示范区主要农作物化肥利用率稳定在 40%以上，农药利用率达到40.8%以上。</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136"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14</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统筹推进农业废弃物资源化利用</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推进农膜回收利用。加快推广标准地膜，引导开展全生物降解地膜试验和示范应用， 推进地膜源头减量，鼓励实施农膜及农药包装废弃物回收绿色补偿制度，完善回收利用体系和长效机制，推动生产者、销售者和使用者落实回收责任，加强农田残留地膜、化肥农药塑料包装等监测和清理整治工作，推进塑料污染治理。到2021年底，示范区农膜回收率稳定在90%以上。健全秸秆收储供应体系，推广深耕还田和青贮、氨化实用技术，提升秸秆“五料化”利用水平。抓好秸秆综合利用示范点建设，强化各镇政府秸秆综合利用和禁烧主体责任，推动秸秆禁烧和综合利用常态化。在种养密集区域，探索推进畜禽粪污、秸秆、农田残膜、农村垃圾等废弃物全量资源化利用。到2021年年底，秸秆综合利用率达到 91%以上。</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792"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15</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加强畜禽养殖污染防治</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根据省定畜禽养殖业污染防治技术规范，推动种养合理布局和有效衔接，规范畜禽养殖禁养区划定与管理。加快推进畜禽粪污资源化利用试点项目建设，不断提升畜禽规模养殖场粪污处理设施装备水平。大力推广全量收集、发酵制肥、液体粪肥机械化还田等新工艺、新技术、新装备，努力构建“政府支持、企业主体、市场化运行”的社会化服务新机制，加快打通粪肥就近还田利用“最后一公里”。到 2021年年底，畜禽粪污综合利用率达到 81%以上。</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lang w:eastAsia="zh-CN"/>
              </w:rPr>
              <w:t>发展改革和统计局、财政金融局、</w:t>
            </w:r>
            <w:r>
              <w:rPr>
                <w:rFonts w:hint="eastAsia" w:ascii="宋体" w:hAnsi="宋体" w:cs="宋体"/>
                <w:szCs w:val="21"/>
                <w:highlight w:val="none"/>
              </w:rPr>
              <w:t>生态环境局、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16</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开展农业污染源调查监测</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完善化肥农药使用量调查核算方法，整合统计、农业农村、市场监管等部门数据，逐步摸清化肥农药使用变化情况。利用实地调研、台账抽查、智能终端采集等方式，对化肥农药投入、畜禽和水产养殖等污染物排放情况进行抽查核实。对大中型灌区进行农田灌溉用水定期监测，对规模畜禽养殖场等出水水质进行监测，掌握农业面源污染物产生和排放情况。</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农业农村局、发展改革和统计局、市场监管局、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26"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17</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加强养殖业环境监管</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按照《畜禽规模养殖污染防治条例》，到 2021年 9月底前完成畜禽养殖场、养殖小区的具体规模标准备案工作。严格畜禽养殖环境监管执法，对无证排污、不按证排污、污染防治设施配套不到位、粪污未经无害化处理直接还田或向环境排放，不符合国家和地方排放标准的，要依法查处。</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生态环境局、农业农村局按照职责分工负责</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9月底前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23"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18</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建设农业面源污染监管平台</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系统整合农田氮磷流失监测、地表水生态环境质量监测、农村环境质量监测等数据，实现从污染源到生态环境监测数据互联互通。加强农业源普查、生态环境统计、畜禽粪污综合利用信息、排污许可等数据共享。持续推进农业投入结构调整。</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40"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19</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健全监测网络</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加强农业农村环境监测网络建设。到2025 年年底，具备条件的镇纳入全省农村环境质量监测点位全覆盖。</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szCs w:val="21"/>
                <w:highlight w:val="none"/>
              </w:rPr>
              <w:t>农业农村局、</w:t>
            </w: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持续推进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71" w:hRule="atLeast"/>
          <w:jc w:val="center"/>
        </w:trPr>
        <w:tc>
          <w:tcPr>
            <w:tcW w:w="789"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20</w:t>
            </w:r>
          </w:p>
        </w:tc>
        <w:tc>
          <w:tcPr>
            <w:tcW w:w="208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加强生态环境执法与应急</w:t>
            </w:r>
          </w:p>
        </w:tc>
        <w:tc>
          <w:tcPr>
            <w:tcW w:w="6285" w:type="dxa"/>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加强农业农村生态环境执法，将农业农村生态环境保护相关工作纳入日常执法内容，开展“双随机一公开”执法检查，提升执法装备水平。组织开展监管执法和应急工作培训，提升执法监督和应急能力。</w:t>
            </w:r>
          </w:p>
        </w:tc>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农业农村局</w:t>
            </w:r>
          </w:p>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宋体" w:cs="宋体"/>
                <w:szCs w:val="21"/>
                <w:highlight w:val="none"/>
                <w:lang w:eastAsia="zh-CN"/>
              </w:rPr>
            </w:pPr>
            <w:r>
              <w:rPr>
                <w:rFonts w:hint="eastAsia" w:ascii="宋体" w:hAnsi="宋体" w:cs="宋体"/>
                <w:szCs w:val="21"/>
                <w:highlight w:val="none"/>
                <w:lang w:eastAsia="zh-CN"/>
              </w:rPr>
              <w:t>生态环境局</w:t>
            </w:r>
          </w:p>
        </w:tc>
        <w:tc>
          <w:tcPr>
            <w:tcW w:w="1995" w:type="dxa"/>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highlight w:val="none"/>
              </w:rPr>
            </w:pPr>
            <w:r>
              <w:rPr>
                <w:rFonts w:hint="eastAsia" w:ascii="宋体" w:hAnsi="宋体" w:cs="宋体"/>
                <w:bCs/>
                <w:szCs w:val="21"/>
                <w:highlight w:val="none"/>
              </w:rPr>
              <w:t>各镇人民政府</w:t>
            </w:r>
          </w:p>
        </w:tc>
        <w:tc>
          <w:tcPr>
            <w:tcW w:w="2047" w:type="dxa"/>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10" w:hRule="atLeast"/>
          <w:jc w:val="center"/>
        </w:trPr>
        <w:tc>
          <w:tcPr>
            <w:tcW w:w="789"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21</w:t>
            </w:r>
          </w:p>
        </w:tc>
        <w:tc>
          <w:tcPr>
            <w:tcW w:w="208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bCs/>
                <w:szCs w:val="21"/>
                <w:highlight w:val="none"/>
              </w:rPr>
            </w:pPr>
            <w:r>
              <w:rPr>
                <w:rFonts w:hint="eastAsia" w:ascii="宋体" w:hAnsi="宋体" w:cs="宋体"/>
                <w:bCs/>
                <w:szCs w:val="21"/>
                <w:highlight w:val="none"/>
              </w:rPr>
              <w:t>完善经济政策</w:t>
            </w:r>
          </w:p>
        </w:tc>
        <w:tc>
          <w:tcPr>
            <w:tcW w:w="62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要统筹利用农业农村、城乡建设、生态环境保护等资金，逐步加大农村生态环境保护资金投入，并将土地出让金、生态功能转移支付金等按照一定的比例支持农村环境整治，建立稳定的农业农村污染治理经费渠道。鼓励符合条件的项目申请使用政策性银行贷款，规范政府和社会资本合作（PPP）模式，吸引社会资金投入。</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财政金融局</w:t>
            </w:r>
          </w:p>
        </w:tc>
        <w:tc>
          <w:tcPr>
            <w:tcW w:w="19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cs="宋体"/>
                <w:szCs w:val="21"/>
                <w:highlight w:val="none"/>
              </w:rPr>
            </w:pPr>
            <w:r>
              <w:rPr>
                <w:rFonts w:hint="eastAsia" w:ascii="宋体" w:hAnsi="宋体" w:cs="宋体"/>
                <w:szCs w:val="21"/>
                <w:highlight w:val="none"/>
              </w:rPr>
              <w:t>生态环境局、各镇人民政府</w:t>
            </w:r>
          </w:p>
        </w:tc>
        <w:tc>
          <w:tcPr>
            <w:tcW w:w="2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84" w:hRule="atLeast"/>
          <w:jc w:val="center"/>
        </w:trPr>
        <w:tc>
          <w:tcPr>
            <w:tcW w:w="78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2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落实农村生活污水治理（农村黑臭水体治理）用电政策，设施用电执行农业生产电价标准，并优先纳入用电安排。鼓励有条件镇探索农村生活污水处理收费政策。</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发展改革和统计局</w:t>
            </w:r>
          </w:p>
        </w:tc>
        <w:tc>
          <w:tcPr>
            <w:tcW w:w="19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cs="宋体"/>
                <w:szCs w:val="21"/>
                <w:highlight w:val="none"/>
              </w:rPr>
            </w:pPr>
            <w:r>
              <w:rPr>
                <w:rFonts w:hint="eastAsia" w:ascii="宋体" w:hAnsi="宋体" w:cs="宋体"/>
                <w:szCs w:val="21"/>
                <w:highlight w:val="none"/>
              </w:rPr>
              <w:t>生态环境局、农业农村局、各镇人民政府</w:t>
            </w:r>
          </w:p>
        </w:tc>
        <w:tc>
          <w:tcPr>
            <w:tcW w:w="2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40" w:hRule="atLeast"/>
          <w:jc w:val="center"/>
        </w:trPr>
        <w:tc>
          <w:tcPr>
            <w:tcW w:w="78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20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rPr>
                <w:rFonts w:ascii="宋体" w:hAnsi="宋体"/>
                <w:highlight w:val="none"/>
              </w:rPr>
            </w:pPr>
          </w:p>
        </w:tc>
        <w:tc>
          <w:tcPr>
            <w:tcW w:w="62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left"/>
              <w:rPr>
                <w:rFonts w:hint="eastAsia" w:ascii="宋体" w:hAnsi="宋体" w:cs="宋体"/>
                <w:szCs w:val="21"/>
                <w:highlight w:val="none"/>
              </w:rPr>
            </w:pPr>
            <w:r>
              <w:rPr>
                <w:rFonts w:hint="eastAsia" w:ascii="宋体" w:hAnsi="宋体" w:cs="宋体"/>
                <w:szCs w:val="21"/>
                <w:highlight w:val="none"/>
              </w:rPr>
              <w:t>制定并明确施行简易审批的村庄建设项目范围，开设农村环境整治建设项目的“绿色通道”。完善农村环境整治项目管理制度，加强项目储备库建设，提高项目质量，对进入中央项目储备库的项目，优先予以专项资金和国开行等政策性银行低息贷款支持。做好项目实施情况监督和验收工作，提高项目资金成效和执行率。</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eastAsia="宋体" w:cs="宋体"/>
                <w:szCs w:val="21"/>
                <w:highlight w:val="none"/>
                <w:lang w:val="en-US" w:eastAsia="zh-CN"/>
              </w:rPr>
            </w:pPr>
            <w:r>
              <w:rPr>
                <w:rFonts w:hint="eastAsia" w:ascii="宋体" w:hAnsi="宋体" w:cs="宋体"/>
                <w:szCs w:val="21"/>
                <w:highlight w:val="none"/>
              </w:rPr>
              <w:t>发展改革和统计局、自然资源和规划局、农业农村局、生态环境局</w:t>
            </w:r>
            <w:r>
              <w:rPr>
                <w:rFonts w:hint="eastAsia" w:ascii="宋体" w:hAnsi="宋体" w:cs="宋体"/>
                <w:szCs w:val="21"/>
                <w:highlight w:val="none"/>
                <w:lang w:eastAsia="zh-CN"/>
              </w:rPr>
              <w:t>按职责分工负责</w:t>
            </w:r>
          </w:p>
        </w:tc>
        <w:tc>
          <w:tcPr>
            <w:tcW w:w="19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jc w:val="center"/>
              <w:rPr>
                <w:rFonts w:hint="eastAsia" w:ascii="宋体" w:hAnsi="宋体" w:cs="宋体"/>
                <w:szCs w:val="21"/>
                <w:highlight w:val="none"/>
              </w:rPr>
            </w:pPr>
            <w:r>
              <w:rPr>
                <w:rFonts w:hint="eastAsia" w:ascii="宋体" w:hAnsi="宋体" w:cs="宋体"/>
                <w:szCs w:val="21"/>
                <w:highlight w:val="none"/>
              </w:rPr>
              <w:t>各镇人民政府</w:t>
            </w:r>
          </w:p>
        </w:tc>
        <w:tc>
          <w:tcPr>
            <w:tcW w:w="20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300" w:lineRule="exact"/>
              <w:jc w:val="center"/>
              <w:rPr>
                <w:rFonts w:hint="eastAsia" w:ascii="宋体" w:hAnsi="宋体" w:cs="宋体"/>
                <w:szCs w:val="21"/>
                <w:highlight w:val="none"/>
              </w:rPr>
            </w:pPr>
            <w:r>
              <w:rPr>
                <w:rFonts w:hint="eastAsia" w:ascii="宋体" w:hAnsi="宋体" w:cs="宋体"/>
                <w:szCs w:val="21"/>
                <w:highlight w:val="none"/>
              </w:rPr>
              <w:t>12月底前</w:t>
            </w:r>
          </w:p>
        </w:tc>
      </w:tr>
    </w:tbl>
    <w:p>
      <w:pPr>
        <w:keepNext w:val="0"/>
        <w:keepLines w:val="0"/>
        <w:pageBreakBefore w:val="0"/>
        <w:widowControl w:val="0"/>
        <w:kinsoku/>
        <w:wordWrap/>
        <w:overflowPunct/>
        <w:topLinePunct w:val="0"/>
        <w:autoSpaceDE/>
        <w:autoSpaceDN/>
        <w:bidi w:val="0"/>
        <w:rPr>
          <w:rFonts w:hint="eastAsia" w:ascii="宋体" w:hAnsi="宋体"/>
          <w:highlight w:val="none"/>
        </w:rPr>
      </w:pPr>
    </w:p>
    <w:p>
      <w:pPr>
        <w:pStyle w:val="2"/>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sectPr>
          <w:headerReference r:id="rId11" w:type="default"/>
          <w:footerReference r:id="rId12" w:type="default"/>
          <w:pgSz w:w="16838" w:h="11906" w:orient="landscape"/>
          <w:pgMar w:top="1417" w:right="1417" w:bottom="1417" w:left="1417" w:header="851" w:footer="1304" w:gutter="0"/>
          <w:pgNumType w:fmt="decimal" w:start="92"/>
          <w:cols w:space="0" w:num="1"/>
          <w:docGrid w:type="lines" w:linePitch="324" w:charSpace="0"/>
        </w:sectPr>
      </w:pPr>
    </w:p>
    <w:p>
      <w:pPr>
        <w:pStyle w:val="2"/>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200" w:lineRule="exact"/>
        <w:textAlignment w:val="auto"/>
        <w:rPr>
          <w:rFonts w:hint="eastAsia" w:ascii="宋体" w:hAnsi="宋体" w:eastAsia="仿宋_GB2312" w:cs="宋体"/>
          <w:color w:val="auto"/>
          <w:kern w:val="0"/>
          <w:sz w:val="32"/>
          <w:szCs w:val="32"/>
        </w:rPr>
      </w:pPr>
    </w:p>
    <w:p>
      <w:pPr>
        <w:pStyle w:val="2"/>
        <w:ind w:left="0" w:leftChars="0" w:firstLine="0" w:firstLineChars="0"/>
        <w:rPr>
          <w:rFonts w:hint="eastAsia" w:ascii="宋体" w:hAnsi="宋体" w:eastAsia="仿宋_GB2312" w:cs="宋体"/>
          <w:color w:val="auto"/>
          <w:kern w:val="0"/>
          <w:sz w:val="32"/>
          <w:szCs w:val="32"/>
        </w:rPr>
      </w:pPr>
    </w:p>
    <w:p>
      <w:pPr>
        <w:pStyle w:val="2"/>
        <w:ind w:left="0" w:leftChars="0" w:firstLine="0" w:firstLineChars="0"/>
        <w:rPr>
          <w:rFonts w:hint="eastAsia" w:ascii="宋体" w:hAnsi="宋体" w:eastAsia="仿宋_GB2312" w:cs="宋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1000" w:lineRule="exact"/>
        <w:textAlignment w:val="auto"/>
        <w:rPr>
          <w:rFonts w:hint="eastAsia" w:ascii="宋体" w:hAnsi="宋体" w:eastAsia="仿宋_GB2312" w:cs="宋体"/>
          <w:color w:val="auto"/>
          <w:kern w:val="0"/>
          <w:sz w:val="32"/>
          <w:szCs w:val="32"/>
        </w:rPr>
      </w:pPr>
      <w:r>
        <w:rPr>
          <w:rFonts w:hint="eastAsia" w:ascii="宋体" w:hAnsi="宋体" w:cs="宋体"/>
          <w:color w:val="auto"/>
        </w:rPr>
        <mc:AlternateContent>
          <mc:Choice Requires="wps">
            <w:drawing>
              <wp:anchor distT="0" distB="0" distL="114300" distR="114300" simplePos="0" relativeHeight="251660288" behindDoc="0" locked="0" layoutInCell="1" allowOverlap="1">
                <wp:simplePos x="0" y="0"/>
                <wp:positionH relativeFrom="column">
                  <wp:posOffset>3175</wp:posOffset>
                </wp:positionH>
                <wp:positionV relativeFrom="paragraph">
                  <wp:posOffset>363855</wp:posOffset>
                </wp:positionV>
                <wp:extent cx="5615940" cy="0"/>
                <wp:effectExtent l="0" t="0" r="0" b="0"/>
                <wp:wrapNone/>
                <wp:docPr id="16" name="Line 13"/>
                <wp:cNvGraphicFramePr/>
                <a:graphic xmlns:a="http://schemas.openxmlformats.org/drawingml/2006/main">
                  <a:graphicData uri="http://schemas.microsoft.com/office/word/2010/wordprocessingShape">
                    <wps:wsp>
                      <wps:cNvCnPr/>
                      <wps:spPr>
                        <a:xfrm>
                          <a:off x="0" y="0"/>
                          <a:ext cx="5615940" cy="0"/>
                        </a:xfrm>
                        <a:prstGeom prst="line">
                          <a:avLst/>
                        </a:prstGeom>
                        <a:ln w="4445" cap="flat" cmpd="sng">
                          <a:solidFill>
                            <a:srgbClr val="000000"/>
                          </a:solidFill>
                          <a:prstDash val="solid"/>
                          <a:headEnd type="none" w="med" len="med"/>
                          <a:tailEnd type="none" w="med" len="med"/>
                        </a:ln>
                        <a:effectLst/>
                      </wps:spPr>
                      <wps:bodyPr upright="1"/>
                    </wps:wsp>
                  </a:graphicData>
                </a:graphic>
              </wp:anchor>
            </w:drawing>
          </mc:Choice>
          <mc:Fallback>
            <w:pict>
              <v:line id="Line 13" o:spid="_x0000_s1026" o:spt="20" style="position:absolute;left:0pt;margin-left:0.25pt;margin-top:28.65pt;height:0pt;width:442.2pt;z-index:251660288;mso-width-relative:page;mso-height-relative:page;" filled="f" stroked="t" coordsize="21600,21600" o:gfxdata="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UsQSr1gAAAAYBAAAP&#10;AAAAAAAAAAEAIAAAACIAAABkcnMvZG93bnJldi54bWxQSwECFAAUAAAACACHTuJAh13O/eEBAADp&#10;AwAADgAAAAAAAAABACAAAAAlAQAAZHJzL2Uyb0RvYy54bWxQSwUGAAAAAAYABgBZAQAAeAUAAAAA&#10;">
                <v:fill on="f" focussize="0,0"/>
                <v:stroke weight="0.35pt" color="#000000" joinstyle="round"/>
                <v:imagedata o:title=""/>
                <o:lock v:ext="edit" aspectratio="f"/>
              </v:line>
            </w:pict>
          </mc:Fallback>
        </mc:AlternateContent>
      </w:r>
      <w:r>
        <w:rPr>
          <w:rFonts w:ascii="宋体" w:hAnsi="宋体" w:cs="宋体"/>
          <w:color w:val="auto"/>
          <w:sz w:val="30"/>
        </w:rPr>
        <mc:AlternateContent>
          <mc:Choice Requires="wps">
            <w:drawing>
              <wp:anchor distT="0" distB="0" distL="114300" distR="114300" simplePos="0" relativeHeight="251661312" behindDoc="0" locked="0" layoutInCell="1" allowOverlap="1">
                <wp:simplePos x="0" y="0"/>
                <wp:positionH relativeFrom="column">
                  <wp:posOffset>7620</wp:posOffset>
                </wp:positionH>
                <wp:positionV relativeFrom="paragraph">
                  <wp:posOffset>361315</wp:posOffset>
                </wp:positionV>
                <wp:extent cx="5603875" cy="389255"/>
                <wp:effectExtent l="0" t="0" r="0" b="0"/>
                <wp:wrapNone/>
                <wp:docPr id="19" name="文本框 19"/>
                <wp:cNvGraphicFramePr/>
                <a:graphic xmlns:a="http://schemas.openxmlformats.org/drawingml/2006/main">
                  <a:graphicData uri="http://schemas.microsoft.com/office/word/2010/wordprocessingShape">
                    <wps:wsp>
                      <wps:cNvSpPr txBox="1"/>
                      <wps:spPr>
                        <a:xfrm>
                          <a:off x="1052195" y="7928610"/>
                          <a:ext cx="5603875" cy="347345"/>
                        </a:xfrm>
                        <a:prstGeom prst="rect">
                          <a:avLst/>
                        </a:prstGeom>
                        <a:noFill/>
                        <a:ln w="6350">
                          <a:noFill/>
                        </a:ln>
                        <a:effectLst/>
                      </wps:spPr>
                      <wps:txbx>
                        <w:txbxContent>
                          <w:p>
                            <w:pPr>
                              <w:spacing w:line="460" w:lineRule="exact"/>
                              <w:jc w:val="center"/>
                              <w:rPr>
                                <w:rFonts w:ascii="宋体" w:hAnsi="宋体"/>
                                <w:spacing w:val="-19"/>
                                <w:w w:val="98"/>
                              </w:rPr>
                            </w:pPr>
                            <w:r>
                              <w:rPr>
                                <w:rFonts w:hint="eastAsia" w:ascii="宋体" w:hAnsi="宋体" w:eastAsia="仿宋_GB2312"/>
                                <w:spacing w:val="-17"/>
                                <w:w w:val="98"/>
                                <w:sz w:val="32"/>
                                <w:szCs w:val="32"/>
                                <w:lang w:eastAsia="zh-CN"/>
                              </w:rPr>
                              <w:t>济源产城融合示范区</w:t>
                            </w:r>
                            <w:r>
                              <w:rPr>
                                <w:rFonts w:hint="eastAsia" w:ascii="宋体" w:hAnsi="宋体" w:eastAsia="仿宋_GB2312"/>
                                <w:spacing w:val="-17"/>
                                <w:w w:val="98"/>
                                <w:sz w:val="32"/>
                                <w:szCs w:val="32"/>
                              </w:rPr>
                              <w:t>污染防治攻坚战</w:t>
                            </w:r>
                            <w:r>
                              <w:rPr>
                                <w:rFonts w:hint="eastAsia" w:ascii="宋体" w:hAnsi="宋体" w:eastAsia="仿宋_GB2312"/>
                                <w:spacing w:val="-17"/>
                                <w:w w:val="98"/>
                                <w:sz w:val="32"/>
                                <w:szCs w:val="32"/>
                                <w:lang w:eastAsia="zh-CN"/>
                              </w:rPr>
                              <w:t>领导小组</w:t>
                            </w:r>
                            <w:r>
                              <w:rPr>
                                <w:rFonts w:hint="eastAsia" w:ascii="宋体" w:hAnsi="宋体" w:eastAsia="仿宋_GB2312"/>
                                <w:spacing w:val="-17"/>
                                <w:w w:val="98"/>
                                <w:sz w:val="32"/>
                                <w:szCs w:val="32"/>
                                <w:lang w:val="en-US" w:eastAsia="zh-CN"/>
                              </w:rPr>
                              <w:t xml:space="preserve">  </w:t>
                            </w:r>
                            <w:r>
                              <w:rPr>
                                <w:rFonts w:ascii="宋体" w:hAnsi="宋体" w:eastAsia="仿宋_GB2312"/>
                                <w:spacing w:val="-19"/>
                                <w:w w:val="98"/>
                                <w:sz w:val="32"/>
                                <w:szCs w:val="32"/>
                              </w:rPr>
                              <w:t>20</w:t>
                            </w:r>
                            <w:r>
                              <w:rPr>
                                <w:rFonts w:hint="eastAsia" w:ascii="宋体" w:hAnsi="宋体" w:eastAsia="仿宋_GB2312"/>
                                <w:spacing w:val="-19"/>
                                <w:w w:val="98"/>
                                <w:sz w:val="32"/>
                                <w:szCs w:val="32"/>
                                <w:lang w:val="en-US" w:eastAsia="zh-CN"/>
                              </w:rPr>
                              <w:t>21</w:t>
                            </w:r>
                            <w:r>
                              <w:rPr>
                                <w:rFonts w:hint="eastAsia" w:ascii="宋体" w:hAnsi="宋体" w:eastAsia="仿宋_GB2312"/>
                                <w:spacing w:val="-19"/>
                                <w:w w:val="98"/>
                                <w:sz w:val="32"/>
                                <w:szCs w:val="32"/>
                              </w:rPr>
                              <w:t>年</w:t>
                            </w:r>
                            <w:r>
                              <w:rPr>
                                <w:rFonts w:hint="eastAsia" w:ascii="宋体" w:hAnsi="宋体" w:eastAsia="仿宋_GB2312"/>
                                <w:spacing w:val="-19"/>
                                <w:w w:val="98"/>
                                <w:sz w:val="32"/>
                                <w:szCs w:val="32"/>
                                <w:lang w:val="en-US" w:eastAsia="zh-CN"/>
                              </w:rPr>
                              <w:t>8</w:t>
                            </w:r>
                            <w:r>
                              <w:rPr>
                                <w:rFonts w:hint="eastAsia" w:ascii="宋体" w:hAnsi="宋体" w:eastAsia="仿宋_GB2312"/>
                                <w:spacing w:val="-19"/>
                                <w:w w:val="98"/>
                                <w:sz w:val="32"/>
                                <w:szCs w:val="32"/>
                              </w:rPr>
                              <w:t>月</w:t>
                            </w:r>
                            <w:r>
                              <w:rPr>
                                <w:rFonts w:hint="eastAsia" w:ascii="宋体" w:hAnsi="宋体" w:eastAsia="仿宋_GB2312"/>
                                <w:spacing w:val="-19"/>
                                <w:w w:val="98"/>
                                <w:sz w:val="32"/>
                                <w:szCs w:val="32"/>
                                <w:lang w:val="en-US" w:eastAsia="zh-CN"/>
                              </w:rPr>
                              <w:t>4</w:t>
                            </w:r>
                            <w:r>
                              <w:rPr>
                                <w:rFonts w:hint="eastAsia" w:ascii="宋体" w:hAnsi="宋体" w:eastAsia="仿宋_GB2312"/>
                                <w:spacing w:val="-19"/>
                                <w:w w:val="98"/>
                                <w:sz w:val="32"/>
                                <w:szCs w:val="32"/>
                              </w:rPr>
                              <w:t>日印发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6pt;margin-top:28.45pt;height:30.65pt;width:441.25pt;z-index:251661312;mso-width-relative:page;mso-height-relative:page;" filled="f" stroked="f" coordsize="21600,21600" o:gfxdata="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qJPnadkAAAAIAQAADwAA&#10;AAAAAAABACAAAAAiAAAAZHJzL2Rvd25yZXYueG1sUEsBAhQAFAAAAAgAh07iQFNDfRlOAgAAggQA&#10;AA4AAAAAAAAAAQAgAAAAKAEAAGRycy9lMm9Eb2MueG1sUEsFBgAAAAAGAAYAWQEAAOgFAAAAAA==&#10;">
                <v:fill on="f" focussize="0,0"/>
                <v:stroke on="f" weight="0.5pt"/>
                <v:imagedata o:title=""/>
                <o:lock v:ext="edit" aspectratio="f"/>
                <v:textbox>
                  <w:txbxContent>
                    <w:p>
                      <w:pPr>
                        <w:spacing w:line="460" w:lineRule="exact"/>
                        <w:jc w:val="center"/>
                        <w:rPr>
                          <w:rFonts w:ascii="宋体" w:hAnsi="宋体"/>
                          <w:spacing w:val="-19"/>
                          <w:w w:val="98"/>
                        </w:rPr>
                      </w:pPr>
                      <w:r>
                        <w:rPr>
                          <w:rFonts w:hint="eastAsia" w:ascii="宋体" w:hAnsi="宋体" w:eastAsia="仿宋_GB2312"/>
                          <w:spacing w:val="-17"/>
                          <w:w w:val="98"/>
                          <w:sz w:val="32"/>
                          <w:szCs w:val="32"/>
                          <w:lang w:eastAsia="zh-CN"/>
                        </w:rPr>
                        <w:t>济源产城融合示范区</w:t>
                      </w:r>
                      <w:r>
                        <w:rPr>
                          <w:rFonts w:hint="eastAsia" w:ascii="宋体" w:hAnsi="宋体" w:eastAsia="仿宋_GB2312"/>
                          <w:spacing w:val="-17"/>
                          <w:w w:val="98"/>
                          <w:sz w:val="32"/>
                          <w:szCs w:val="32"/>
                        </w:rPr>
                        <w:t>污染防治攻坚战</w:t>
                      </w:r>
                      <w:r>
                        <w:rPr>
                          <w:rFonts w:hint="eastAsia" w:ascii="宋体" w:hAnsi="宋体" w:eastAsia="仿宋_GB2312"/>
                          <w:spacing w:val="-17"/>
                          <w:w w:val="98"/>
                          <w:sz w:val="32"/>
                          <w:szCs w:val="32"/>
                          <w:lang w:eastAsia="zh-CN"/>
                        </w:rPr>
                        <w:t>领导小组</w:t>
                      </w:r>
                      <w:r>
                        <w:rPr>
                          <w:rFonts w:hint="eastAsia" w:ascii="宋体" w:hAnsi="宋体" w:eastAsia="仿宋_GB2312"/>
                          <w:spacing w:val="-17"/>
                          <w:w w:val="98"/>
                          <w:sz w:val="32"/>
                          <w:szCs w:val="32"/>
                          <w:lang w:val="en-US" w:eastAsia="zh-CN"/>
                        </w:rPr>
                        <w:t xml:space="preserve">  </w:t>
                      </w:r>
                      <w:r>
                        <w:rPr>
                          <w:rFonts w:ascii="宋体" w:hAnsi="宋体" w:eastAsia="仿宋_GB2312"/>
                          <w:spacing w:val="-19"/>
                          <w:w w:val="98"/>
                          <w:sz w:val="32"/>
                          <w:szCs w:val="32"/>
                        </w:rPr>
                        <w:t>20</w:t>
                      </w:r>
                      <w:r>
                        <w:rPr>
                          <w:rFonts w:hint="eastAsia" w:ascii="宋体" w:hAnsi="宋体" w:eastAsia="仿宋_GB2312"/>
                          <w:spacing w:val="-19"/>
                          <w:w w:val="98"/>
                          <w:sz w:val="32"/>
                          <w:szCs w:val="32"/>
                          <w:lang w:val="en-US" w:eastAsia="zh-CN"/>
                        </w:rPr>
                        <w:t>21</w:t>
                      </w:r>
                      <w:r>
                        <w:rPr>
                          <w:rFonts w:hint="eastAsia" w:ascii="宋体" w:hAnsi="宋体" w:eastAsia="仿宋_GB2312"/>
                          <w:spacing w:val="-19"/>
                          <w:w w:val="98"/>
                          <w:sz w:val="32"/>
                          <w:szCs w:val="32"/>
                        </w:rPr>
                        <w:t>年</w:t>
                      </w:r>
                      <w:r>
                        <w:rPr>
                          <w:rFonts w:hint="eastAsia" w:ascii="宋体" w:hAnsi="宋体" w:eastAsia="仿宋_GB2312"/>
                          <w:spacing w:val="-19"/>
                          <w:w w:val="98"/>
                          <w:sz w:val="32"/>
                          <w:szCs w:val="32"/>
                          <w:lang w:val="en-US" w:eastAsia="zh-CN"/>
                        </w:rPr>
                        <w:t>8</w:t>
                      </w:r>
                      <w:r>
                        <w:rPr>
                          <w:rFonts w:hint="eastAsia" w:ascii="宋体" w:hAnsi="宋体" w:eastAsia="仿宋_GB2312"/>
                          <w:spacing w:val="-19"/>
                          <w:w w:val="98"/>
                          <w:sz w:val="32"/>
                          <w:szCs w:val="32"/>
                        </w:rPr>
                        <w:t>月</w:t>
                      </w:r>
                      <w:r>
                        <w:rPr>
                          <w:rFonts w:hint="eastAsia" w:ascii="宋体" w:hAnsi="宋体" w:eastAsia="仿宋_GB2312"/>
                          <w:spacing w:val="-19"/>
                          <w:w w:val="98"/>
                          <w:sz w:val="32"/>
                          <w:szCs w:val="32"/>
                          <w:lang w:val="en-US" w:eastAsia="zh-CN"/>
                        </w:rPr>
                        <w:t>4</w:t>
                      </w:r>
                      <w:r>
                        <w:rPr>
                          <w:rFonts w:hint="eastAsia" w:ascii="宋体" w:hAnsi="宋体" w:eastAsia="仿宋_GB2312"/>
                          <w:spacing w:val="-19"/>
                          <w:w w:val="98"/>
                          <w:sz w:val="32"/>
                          <w:szCs w:val="32"/>
                        </w:rPr>
                        <w:t>日印发</w:t>
                      </w:r>
                    </w:p>
                  </w:txbxContent>
                </v:textbox>
              </v:shape>
            </w:pict>
          </mc:Fallback>
        </mc:AlternateContent>
      </w:r>
      <w:r>
        <w:rPr>
          <w:rFonts w:hint="eastAsia" w:ascii="宋体" w:hAnsi="宋体" w:cs="宋体"/>
          <w:color w:val="auto"/>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750570</wp:posOffset>
                </wp:positionV>
                <wp:extent cx="5615940" cy="0"/>
                <wp:effectExtent l="0" t="0" r="0" b="0"/>
                <wp:wrapNone/>
                <wp:docPr id="17" name="Line 6"/>
                <wp:cNvGraphicFramePr/>
                <a:graphic xmlns:a="http://schemas.openxmlformats.org/drawingml/2006/main">
                  <a:graphicData uri="http://schemas.microsoft.com/office/word/2010/wordprocessingShape">
                    <wps:wsp>
                      <wps:cNvCnPr/>
                      <wps:spPr>
                        <a:xfrm>
                          <a:off x="0" y="0"/>
                          <a:ext cx="5615940" cy="0"/>
                        </a:xfrm>
                        <a:prstGeom prst="line">
                          <a:avLst/>
                        </a:prstGeom>
                        <a:ln w="4445" cap="flat" cmpd="sng">
                          <a:solidFill>
                            <a:srgbClr val="000000"/>
                          </a:solidFill>
                          <a:prstDash val="solid"/>
                          <a:headEnd type="none" w="med" len="med"/>
                          <a:tailEnd type="none" w="med" len="med"/>
                        </a:ln>
                        <a:effectLst/>
                      </wps:spPr>
                      <wps:bodyPr upright="1"/>
                    </wps:wsp>
                  </a:graphicData>
                </a:graphic>
              </wp:anchor>
            </w:drawing>
          </mc:Choice>
          <mc:Fallback>
            <w:pict>
              <v:line id="Line 6" o:spid="_x0000_s1026" o:spt="20" style="position:absolute;left:0pt;margin-left:-0.1pt;margin-top:59.1pt;height:0pt;width:442.2pt;z-index:251659264;mso-width-relative:page;mso-height-relative:page;" filled="f" stroked="t" coordsize="21600,21600" o:gfxdata="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qzjCIdQAAAAJAQAADwAA&#10;AAAAAAABACAAAAAiAAAAZHJzL2Rvd25yZXYueG1sUEsBAhQAFAAAAAgAh07iQIeSXXThAQAA6AMA&#10;AA4AAAAAAAAAAQAgAAAAIwEAAGRycy9lMm9Eb2MueG1sUEsFBgAAAAAGAAYAWQEAAHYFAAAAAA==&#10;">
                <v:fill on="f" focussize="0,0"/>
                <v:stroke weight="0.35pt" color="#000000" joinstyle="round"/>
                <v:imagedata o:title=""/>
                <o:lock v:ext="edit" aspectratio="f"/>
              </v:line>
            </w:pict>
          </mc:Fallback>
        </mc:AlternateContent>
      </w:r>
    </w:p>
    <w:sectPr>
      <w:footerReference r:id="rId13" w:type="default"/>
      <w:pgSz w:w="11906" w:h="16838"/>
      <w:pgMar w:top="1871" w:right="1474" w:bottom="1701" w:left="1587" w:header="851" w:footer="1531" w:gutter="0"/>
      <w:pgNumType w:fmt="decimal"/>
      <w:cols w:space="0" w:num="1"/>
      <w:docGrid w:type="lines" w:linePitch="32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 w:name="微软雅黑 Bold">
    <w:altName w:val="黑体"/>
    <w:panose1 w:val="00000000000000000000"/>
    <w:charset w:val="00"/>
    <w:family w:val="auto"/>
    <w:pitch w:val="default"/>
    <w:sig w:usb0="00000000" w:usb1="00000000" w:usb2="00000000" w:usb3="00000000" w:csb0="00040001" w:csb1="00000000"/>
  </w:font>
  <w:font w:name="Franklin Gothic Medium">
    <w:panose1 w:val="020B0603020102020204"/>
    <w:charset w:val="00"/>
    <w:family w:val="swiss"/>
    <w:pitch w:val="default"/>
    <w:sig w:usb0="00000287" w:usb1="00000000" w:usb2="00000000" w:usb3="00000000" w:csb0="2000009F" w:csb1="DFD70000"/>
  </w:font>
  <w:font w:name="Tahoma">
    <w:panose1 w:val="020B0604030504040204"/>
    <w:charset w:val="00"/>
    <w:family w:val="swiss"/>
    <w:pitch w:val="default"/>
    <w:sig w:usb0="E1002EFF" w:usb1="C000605B" w:usb2="00000029" w:usb3="00000000" w:csb0="200101FF" w:csb1="20280000"/>
  </w:font>
  <w:font w:name="方正小标宋简体">
    <w:altName w:val="仿宋_GB2312"/>
    <w:panose1 w:val="03000509000000000000"/>
    <w:charset w:val="86"/>
    <w:family w:val="auto"/>
    <w:pitch w:val="default"/>
    <w:sig w:usb0="00000000" w:usb1="00000000" w:usb2="00000000" w:usb3="00000000" w:csb0="00040000" w:csb1="00000000"/>
  </w:font>
  <w:font w:name="FangSong_GB2312">
    <w:altName w:val="仿宋_GB2312"/>
    <w:panose1 w:val="02010609060101010101"/>
    <w:charset w:val="86"/>
    <w:family w:val="modern"/>
    <w:pitch w:val="default"/>
    <w:sig w:usb0="00000000" w:usb1="00000000"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ind w:right="277" w:rightChars="132" w:firstLine="280" w:firstLineChars="100"/>
                            <w:rPr>
                              <w:rFonts w:hint="eastAsia" w:eastAsia="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pPr>
                      <w:pStyle w:val="10"/>
                      <w:ind w:right="277" w:rightChars="132" w:firstLine="280" w:firstLineChars="100"/>
                      <w:rPr>
                        <w:rFonts w:hint="eastAsia" w:eastAsia="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- 10 -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- 10 -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r>
      <w:rPr>
        <w:rFonts w:hint="eastAsia"/>
        <w:sz w:val="28"/>
        <w:szCs w:val="28"/>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- 24 -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pPr>
                      <w:pStyle w:val="1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- 24 -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r>
      <w:rPr>
        <w:sz w:val="28"/>
        <w:szCs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622300" cy="230505"/>
              <wp:effectExtent l="0" t="0" r="0" b="0"/>
              <wp:wrapNone/>
              <wp:docPr id="8" name="文本框 8"/>
              <wp:cNvGraphicFramePr/>
              <a:graphic xmlns:a="http://schemas.openxmlformats.org/drawingml/2006/main">
                <a:graphicData uri="http://schemas.microsoft.com/office/word/2010/wordprocessingShape">
                  <wps:wsp>
                    <wps:cNvSpPr txBox="1"/>
                    <wps:spPr>
                      <a:xfrm>
                        <a:off x="0" y="0"/>
                        <a:ext cx="622300" cy="230505"/>
                      </a:xfrm>
                      <a:prstGeom prst="rect">
                        <a:avLst/>
                      </a:prstGeom>
                      <a:noFill/>
                      <a:ln>
                        <a:noFill/>
                      </a:ln>
                    </wps:spPr>
                    <wps:txbx>
                      <w:txbxContent>
                        <w:p>
                          <w:pPr>
                            <w:snapToGrid w:val="0"/>
                            <w:jc w:val="left"/>
                            <w:rPr>
                              <w:rFonts w:hint="eastAsia" w:ascii="宋体" w:cs="宋体"/>
                              <w:sz w:val="28"/>
                              <w:szCs w:val="28"/>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8.15pt;width:49pt;mso-position-horizontal:center;mso-position-horizontal-relative:margin;mso-wrap-style:none;z-index:251663360;mso-width-relative:page;mso-height-relative:page;" filled="f" stroked="f" coordsize="21600,21600" o:gfxdata="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JKL970QAAAAMBAAAPAAAAAAAAAAEAIAAAACIAAABkcnMvZG93bnJl&#10;di54bWxQSwECFAAUAAAACACHTuJAREXhKMsBAACXAwAADgAAAAAAAAABACAAAAAgAQAAZHJzL2Uy&#10;b0RvYy54bWxQSwUGAAAAAAYABgBZAQAAXQUAAAAA&#10;">
              <v:fill on="f" focussize="0,0"/>
              <v:stroke on="f"/>
              <v:imagedata o:title=""/>
              <o:lock v:ext="edit" aspectratio="f"/>
              <v:textbox inset="0mm,0mm,0mm,0mm" style="mso-fit-shape-to-text:t;">
                <w:txbxContent>
                  <w:p>
                    <w:pPr>
                      <w:snapToGrid w:val="0"/>
                      <w:jc w:val="left"/>
                      <w:rPr>
                        <w:rFonts w:hint="eastAsia" w:ascii="宋体" w:cs="宋体"/>
                        <w:sz w:val="28"/>
                        <w:szCs w:val="28"/>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6745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ind w:right="256" w:rightChars="122"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- 40 -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3sYQ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oieMWJ37+8f388/f51zeC&#10;PhSoD1Bj3mPAzDTc+AGTZz+gM/MeVLT5i4wIxhHrdJFXDomI/Gi1XK0qDAmMzRfEZ0/PQ4R0J70l&#10;2WhoxPkVWfnxHtKYOqfkas7famPKDI37y4GY2cNy72OP2UrDbpgI7Xx7Qj49jr6hDjedEvPRobLY&#10;X5qNOBu72TiEqPddWaNcD8KHQ8ImSm+5wgg7FcaZFXbTfuWleH4vWU//1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97GEPIAQAAmwMAAA4AAAAAAAAAAQAgAAAAHgEAAGRycy9lMm9Eb2Mu&#10;eG1sUEsFBgAAAAAGAAYAWQEAAFgFAAAAAA==&#10;">
              <v:fill on="f" focussize="0,0"/>
              <v:stroke on="f"/>
              <v:imagedata o:title=""/>
              <o:lock v:ext="edit" aspectratio="f"/>
              <v:textbox inset="0mm,0mm,0mm,0mm" style="mso-fit-shape-to-text:t;">
                <w:txbxContent>
                  <w:p>
                    <w:pPr>
                      <w:pStyle w:val="10"/>
                      <w:ind w:right="256" w:rightChars="122"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- 40 -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- 49 -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rrjO8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lLShy3OPHzj+/nn7/Pv74R&#10;9KFAfYAa8x4DZqbhxg+YPPsBnZn3oKLNX2REMI7yni7yyiERkR+tlqtVhSGBsfmC+OzpeYiQ7qS3&#10;JBsNjTi/Iis/3kMaU+eUXM35W21MmaFxfzkQM3tY7n3sMVtp2A0ToZ1vT8inx9E31OGmU2I+OlQ2&#10;b8lsxNnYzcYhRL3vyhrlehA+HBI2UXrLFUbYqTDOrLCb9isvxfN7yXr6pz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uuuM7yQEAAJsDAAAOAAAAAAAAAAEAIAAAAB4BAABkcnMvZTJvRG9j&#10;LnhtbFBLBQYAAAAABgAGAFkBAABZBQAAAAA=&#10;">
              <v:fill on="f" focussize="0,0"/>
              <v:stroke on="f"/>
              <v:imagedata o:title=""/>
              <o:lock v:ext="edit" aspectratio="f"/>
              <v:textbox inset="0mm,0mm,0mm,0mm" style="mso-fit-shape-to-text:t;">
                <w:txbxContent>
                  <w:p>
                    <w:pPr>
                      <w:pStyle w:val="1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- 49 -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6950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- 54 -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- 54 -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- 70 -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pPr>
                      <w:pStyle w:val="1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- 70 -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exact"/>
      <w:jc w:val="left"/>
      <w:rPr>
        <w:rFonts w:hint="eastAsia"/>
        <w:sz w:val="28"/>
        <w:szCs w:val="28"/>
      </w:rPr>
    </w:pPr>
    <w:r>
      <w:rPr>
        <w:sz w:val="28"/>
      </w:rPr>
      <mc:AlternateContent>
        <mc:Choice Requires="wps">
          <w:drawing>
            <wp:anchor distT="0" distB="0" distL="114300" distR="114300" simplePos="0" relativeHeight="25167155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ind w:right="338" w:rightChars="161"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- 81 -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pPr>
                      <w:pStyle w:val="10"/>
                      <w:ind w:right="338" w:rightChars="161" w:firstLine="280" w:firstLineChars="100"/>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- 81 -</w:t>
                    </w:r>
                    <w:r>
                      <w:rPr>
                        <w:rFonts w:hint="eastAsia" w:ascii="宋体" w:hAnsi="宋体" w:eastAsia="宋体" w:cs="宋体"/>
                        <w:sz w:val="28"/>
                        <w:szCs w:val="28"/>
                        <w:lang w:eastAsia="zh-CN"/>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9</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vert="horz" wrap="none" lIns="0" tIns="0" rIns="0" bIns="0" anchor="t" anchorCtr="0" upright="0">
                      <a:spAutoFit/>
                    </wps:bodyPr>
                  </wps:wsp>
                </a:graphicData>
              </a:graphic>
            </wp:anchor>
          </w:drawing>
        </mc:Choice>
        <mc:Fallback>
          <w:pict>
            <v:shape id="文本框 18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IiLnLgAQAAwAMAAA4AAAAA&#10;AAAAAQAgAAAAHgEAAGRycy9lMm9Eb2MueG1sUEsFBgAAAAAGAAYAWQEAAHAFAAAAAA==&#10;">
              <v:fill on="f" focussize="0,0"/>
              <v:stroke on="f"/>
              <v:imagedata o:title=""/>
              <o:lock v:ext="edit" aspectratio="f"/>
              <v:textbox inset="0mm,0mm,0mm,0mm" style="mso-fit-shape-to-text:t;">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9</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62"/>
  <w:displayHorizontalDrawingGridEvery w:val="1"/>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7C2B"/>
    <w:rsid w:val="0001386C"/>
    <w:rsid w:val="00091431"/>
    <w:rsid w:val="000E35AD"/>
    <w:rsid w:val="000E703E"/>
    <w:rsid w:val="000F12F5"/>
    <w:rsid w:val="00111727"/>
    <w:rsid w:val="00193D97"/>
    <w:rsid w:val="001D0959"/>
    <w:rsid w:val="001D5D16"/>
    <w:rsid w:val="002075B1"/>
    <w:rsid w:val="00285076"/>
    <w:rsid w:val="002B35DD"/>
    <w:rsid w:val="002C02CD"/>
    <w:rsid w:val="00301AFC"/>
    <w:rsid w:val="00341749"/>
    <w:rsid w:val="0035679E"/>
    <w:rsid w:val="00365BCC"/>
    <w:rsid w:val="003A7C2B"/>
    <w:rsid w:val="003C3C2D"/>
    <w:rsid w:val="003E4FF2"/>
    <w:rsid w:val="004A33AB"/>
    <w:rsid w:val="004F7F1E"/>
    <w:rsid w:val="00524150"/>
    <w:rsid w:val="005935FE"/>
    <w:rsid w:val="00601EBF"/>
    <w:rsid w:val="006534C0"/>
    <w:rsid w:val="00662154"/>
    <w:rsid w:val="006B33A1"/>
    <w:rsid w:val="006D4188"/>
    <w:rsid w:val="006D75B2"/>
    <w:rsid w:val="00706B5E"/>
    <w:rsid w:val="00740DE9"/>
    <w:rsid w:val="007B1FC2"/>
    <w:rsid w:val="008C17E3"/>
    <w:rsid w:val="008D70BA"/>
    <w:rsid w:val="009D1ECC"/>
    <w:rsid w:val="00A52B6F"/>
    <w:rsid w:val="00B120CC"/>
    <w:rsid w:val="00B66406"/>
    <w:rsid w:val="00B738FD"/>
    <w:rsid w:val="00B96584"/>
    <w:rsid w:val="00BE752C"/>
    <w:rsid w:val="00C34E2C"/>
    <w:rsid w:val="00CD4DDC"/>
    <w:rsid w:val="00CE7EB3"/>
    <w:rsid w:val="00D17781"/>
    <w:rsid w:val="00D975EE"/>
    <w:rsid w:val="00DF51F5"/>
    <w:rsid w:val="00DF79FE"/>
    <w:rsid w:val="00E227D7"/>
    <w:rsid w:val="00E27853"/>
    <w:rsid w:val="00E66164"/>
    <w:rsid w:val="00E858FF"/>
    <w:rsid w:val="00ED46AB"/>
    <w:rsid w:val="013D1D2E"/>
    <w:rsid w:val="017539BE"/>
    <w:rsid w:val="023E20C4"/>
    <w:rsid w:val="02A52EC0"/>
    <w:rsid w:val="0325777A"/>
    <w:rsid w:val="036D381A"/>
    <w:rsid w:val="03750445"/>
    <w:rsid w:val="039F0110"/>
    <w:rsid w:val="03AD1AB9"/>
    <w:rsid w:val="03C6020E"/>
    <w:rsid w:val="041E1E26"/>
    <w:rsid w:val="04677464"/>
    <w:rsid w:val="049F7670"/>
    <w:rsid w:val="053A18C1"/>
    <w:rsid w:val="05C80932"/>
    <w:rsid w:val="06031A3C"/>
    <w:rsid w:val="069A5041"/>
    <w:rsid w:val="06D367DF"/>
    <w:rsid w:val="07334E63"/>
    <w:rsid w:val="085D0CDD"/>
    <w:rsid w:val="089D090A"/>
    <w:rsid w:val="095A5933"/>
    <w:rsid w:val="09AB7ED9"/>
    <w:rsid w:val="09F07701"/>
    <w:rsid w:val="0A321895"/>
    <w:rsid w:val="0A820E27"/>
    <w:rsid w:val="0AEC6BE6"/>
    <w:rsid w:val="0AFA7B24"/>
    <w:rsid w:val="0B154058"/>
    <w:rsid w:val="0B1F604A"/>
    <w:rsid w:val="0BA77428"/>
    <w:rsid w:val="0BCA736A"/>
    <w:rsid w:val="0C3338C6"/>
    <w:rsid w:val="0C6E5E55"/>
    <w:rsid w:val="0E24501F"/>
    <w:rsid w:val="0E49009A"/>
    <w:rsid w:val="0E961308"/>
    <w:rsid w:val="0E982860"/>
    <w:rsid w:val="0EAD0660"/>
    <w:rsid w:val="0ED27C84"/>
    <w:rsid w:val="0F3A7E2C"/>
    <w:rsid w:val="0FE31F2C"/>
    <w:rsid w:val="10C70F8D"/>
    <w:rsid w:val="115A1051"/>
    <w:rsid w:val="11A2237A"/>
    <w:rsid w:val="11A47039"/>
    <w:rsid w:val="11CB3AB5"/>
    <w:rsid w:val="12127648"/>
    <w:rsid w:val="1252033B"/>
    <w:rsid w:val="133C5431"/>
    <w:rsid w:val="13C92307"/>
    <w:rsid w:val="13EA6A71"/>
    <w:rsid w:val="13EB116D"/>
    <w:rsid w:val="13FB3234"/>
    <w:rsid w:val="142E7612"/>
    <w:rsid w:val="14471E0A"/>
    <w:rsid w:val="14585A4A"/>
    <w:rsid w:val="14733F0A"/>
    <w:rsid w:val="14AE2F01"/>
    <w:rsid w:val="14BB6C25"/>
    <w:rsid w:val="15366FAE"/>
    <w:rsid w:val="154A2EBA"/>
    <w:rsid w:val="159F75E2"/>
    <w:rsid w:val="15BD6A7D"/>
    <w:rsid w:val="15CB558D"/>
    <w:rsid w:val="16037957"/>
    <w:rsid w:val="16124711"/>
    <w:rsid w:val="162D652C"/>
    <w:rsid w:val="16B15182"/>
    <w:rsid w:val="173E2ECE"/>
    <w:rsid w:val="18237F7D"/>
    <w:rsid w:val="1826555A"/>
    <w:rsid w:val="183323D0"/>
    <w:rsid w:val="18423391"/>
    <w:rsid w:val="185E7486"/>
    <w:rsid w:val="185F56C3"/>
    <w:rsid w:val="187C6741"/>
    <w:rsid w:val="188009A1"/>
    <w:rsid w:val="18871701"/>
    <w:rsid w:val="18AC4DE1"/>
    <w:rsid w:val="18F16949"/>
    <w:rsid w:val="19066AC5"/>
    <w:rsid w:val="19605FC7"/>
    <w:rsid w:val="1A260D98"/>
    <w:rsid w:val="1A7A7F0B"/>
    <w:rsid w:val="1A8D3D65"/>
    <w:rsid w:val="1ACB1588"/>
    <w:rsid w:val="1AE26156"/>
    <w:rsid w:val="1AEC231A"/>
    <w:rsid w:val="1D77076C"/>
    <w:rsid w:val="1DA13709"/>
    <w:rsid w:val="1DC80FE8"/>
    <w:rsid w:val="1DF7570A"/>
    <w:rsid w:val="1DFC3B1F"/>
    <w:rsid w:val="1E2E442A"/>
    <w:rsid w:val="1EC10DF5"/>
    <w:rsid w:val="1F556B6B"/>
    <w:rsid w:val="1F5E2E79"/>
    <w:rsid w:val="1FC4098C"/>
    <w:rsid w:val="201271EC"/>
    <w:rsid w:val="201543BB"/>
    <w:rsid w:val="207D4C1C"/>
    <w:rsid w:val="20B706DF"/>
    <w:rsid w:val="20D35D2F"/>
    <w:rsid w:val="21001D18"/>
    <w:rsid w:val="211D7217"/>
    <w:rsid w:val="212E0D1A"/>
    <w:rsid w:val="21CE3485"/>
    <w:rsid w:val="21D3111C"/>
    <w:rsid w:val="21EB78BE"/>
    <w:rsid w:val="22721A0E"/>
    <w:rsid w:val="22C67EEB"/>
    <w:rsid w:val="235637C8"/>
    <w:rsid w:val="244C2FB4"/>
    <w:rsid w:val="246364B8"/>
    <w:rsid w:val="24C46921"/>
    <w:rsid w:val="24ED5209"/>
    <w:rsid w:val="252F3636"/>
    <w:rsid w:val="25531716"/>
    <w:rsid w:val="25674FF4"/>
    <w:rsid w:val="2686343B"/>
    <w:rsid w:val="26EF2987"/>
    <w:rsid w:val="270472E9"/>
    <w:rsid w:val="27FA7E82"/>
    <w:rsid w:val="28161E03"/>
    <w:rsid w:val="284A36E6"/>
    <w:rsid w:val="28DB3EF3"/>
    <w:rsid w:val="29373A6D"/>
    <w:rsid w:val="29503507"/>
    <w:rsid w:val="295C654B"/>
    <w:rsid w:val="295C7336"/>
    <w:rsid w:val="297332D7"/>
    <w:rsid w:val="29833B73"/>
    <w:rsid w:val="299B1716"/>
    <w:rsid w:val="29EC7AB2"/>
    <w:rsid w:val="29FC744D"/>
    <w:rsid w:val="2ABC4996"/>
    <w:rsid w:val="2AC96E94"/>
    <w:rsid w:val="2B223207"/>
    <w:rsid w:val="2B607BF1"/>
    <w:rsid w:val="2BFF5964"/>
    <w:rsid w:val="2C117B93"/>
    <w:rsid w:val="2C136468"/>
    <w:rsid w:val="2C2669DA"/>
    <w:rsid w:val="2C315106"/>
    <w:rsid w:val="2C580013"/>
    <w:rsid w:val="2C6B1CAD"/>
    <w:rsid w:val="2CCB7F57"/>
    <w:rsid w:val="2D5A2FB0"/>
    <w:rsid w:val="2E3D353F"/>
    <w:rsid w:val="2E8F264F"/>
    <w:rsid w:val="2F0D50F2"/>
    <w:rsid w:val="2F3A1992"/>
    <w:rsid w:val="2F9C07B5"/>
    <w:rsid w:val="2FAA216D"/>
    <w:rsid w:val="2FF270B8"/>
    <w:rsid w:val="30526932"/>
    <w:rsid w:val="316639A8"/>
    <w:rsid w:val="32082EA2"/>
    <w:rsid w:val="325136A1"/>
    <w:rsid w:val="328F4B3E"/>
    <w:rsid w:val="33647C5C"/>
    <w:rsid w:val="33D30672"/>
    <w:rsid w:val="344F2DF2"/>
    <w:rsid w:val="35513BA6"/>
    <w:rsid w:val="356C66CE"/>
    <w:rsid w:val="356F1645"/>
    <w:rsid w:val="358B53FD"/>
    <w:rsid w:val="36076F37"/>
    <w:rsid w:val="36137470"/>
    <w:rsid w:val="36D905B4"/>
    <w:rsid w:val="37333215"/>
    <w:rsid w:val="375542C7"/>
    <w:rsid w:val="37646AA1"/>
    <w:rsid w:val="376A06D0"/>
    <w:rsid w:val="38117AD5"/>
    <w:rsid w:val="38782463"/>
    <w:rsid w:val="38854FA0"/>
    <w:rsid w:val="396340E9"/>
    <w:rsid w:val="3ACB3249"/>
    <w:rsid w:val="3AE96C3B"/>
    <w:rsid w:val="3AEF4B9C"/>
    <w:rsid w:val="3AF43F7E"/>
    <w:rsid w:val="3B333A4B"/>
    <w:rsid w:val="3B681508"/>
    <w:rsid w:val="3B6D06A7"/>
    <w:rsid w:val="3C067931"/>
    <w:rsid w:val="3D387065"/>
    <w:rsid w:val="3E2754A6"/>
    <w:rsid w:val="3E52269C"/>
    <w:rsid w:val="3E5F35E3"/>
    <w:rsid w:val="3EB853A5"/>
    <w:rsid w:val="3EDB64BF"/>
    <w:rsid w:val="3EF84023"/>
    <w:rsid w:val="403E311C"/>
    <w:rsid w:val="405A65D6"/>
    <w:rsid w:val="41F32E1D"/>
    <w:rsid w:val="421A4B62"/>
    <w:rsid w:val="42462CAA"/>
    <w:rsid w:val="4249749E"/>
    <w:rsid w:val="44162C62"/>
    <w:rsid w:val="44667E35"/>
    <w:rsid w:val="44E508A1"/>
    <w:rsid w:val="452529CC"/>
    <w:rsid w:val="45586545"/>
    <w:rsid w:val="458F6030"/>
    <w:rsid w:val="461A2AA6"/>
    <w:rsid w:val="468172AD"/>
    <w:rsid w:val="469A4215"/>
    <w:rsid w:val="47007AAB"/>
    <w:rsid w:val="474C23CA"/>
    <w:rsid w:val="479D11C7"/>
    <w:rsid w:val="485E7133"/>
    <w:rsid w:val="48615AF4"/>
    <w:rsid w:val="48C00D5D"/>
    <w:rsid w:val="4900146E"/>
    <w:rsid w:val="49246D8F"/>
    <w:rsid w:val="495B79A4"/>
    <w:rsid w:val="49734C12"/>
    <w:rsid w:val="4A4B62DD"/>
    <w:rsid w:val="4A7E1CBB"/>
    <w:rsid w:val="4AA209EA"/>
    <w:rsid w:val="4AC20FEB"/>
    <w:rsid w:val="4ACC7435"/>
    <w:rsid w:val="4AE9153A"/>
    <w:rsid w:val="4B6A12BA"/>
    <w:rsid w:val="4BB379E2"/>
    <w:rsid w:val="4BB908CD"/>
    <w:rsid w:val="4BF8211A"/>
    <w:rsid w:val="4C2714BC"/>
    <w:rsid w:val="4C576B9C"/>
    <w:rsid w:val="4C5B2D22"/>
    <w:rsid w:val="4C8708B1"/>
    <w:rsid w:val="4C9404F5"/>
    <w:rsid w:val="4CBA7C7F"/>
    <w:rsid w:val="4D120785"/>
    <w:rsid w:val="4D336C71"/>
    <w:rsid w:val="4D747FBF"/>
    <w:rsid w:val="4D81342C"/>
    <w:rsid w:val="4D9F337C"/>
    <w:rsid w:val="4DC47F62"/>
    <w:rsid w:val="4DFD7A3D"/>
    <w:rsid w:val="4E4314C4"/>
    <w:rsid w:val="4EC92461"/>
    <w:rsid w:val="4ED84DCB"/>
    <w:rsid w:val="4EF20105"/>
    <w:rsid w:val="4F570FC0"/>
    <w:rsid w:val="4F5E7F75"/>
    <w:rsid w:val="4F7106FF"/>
    <w:rsid w:val="509727C7"/>
    <w:rsid w:val="51653AFD"/>
    <w:rsid w:val="51D774F7"/>
    <w:rsid w:val="51DB6360"/>
    <w:rsid w:val="52092011"/>
    <w:rsid w:val="52361489"/>
    <w:rsid w:val="52625A62"/>
    <w:rsid w:val="533713FD"/>
    <w:rsid w:val="5342061C"/>
    <w:rsid w:val="534A7530"/>
    <w:rsid w:val="539F0F02"/>
    <w:rsid w:val="54481CE4"/>
    <w:rsid w:val="546F63CA"/>
    <w:rsid w:val="54B30363"/>
    <w:rsid w:val="54EA3F65"/>
    <w:rsid w:val="54FF1B88"/>
    <w:rsid w:val="555134F6"/>
    <w:rsid w:val="558D75DE"/>
    <w:rsid w:val="55951B97"/>
    <w:rsid w:val="55AA2CE5"/>
    <w:rsid w:val="565C4281"/>
    <w:rsid w:val="56911A71"/>
    <w:rsid w:val="569E1F19"/>
    <w:rsid w:val="56A763D9"/>
    <w:rsid w:val="57075546"/>
    <w:rsid w:val="57C15CA5"/>
    <w:rsid w:val="57D26C35"/>
    <w:rsid w:val="588C7F98"/>
    <w:rsid w:val="58BB7E9D"/>
    <w:rsid w:val="59704F54"/>
    <w:rsid w:val="597202AA"/>
    <w:rsid w:val="59730B6D"/>
    <w:rsid w:val="5A063048"/>
    <w:rsid w:val="5A5532F3"/>
    <w:rsid w:val="5AF013CF"/>
    <w:rsid w:val="5AF264EA"/>
    <w:rsid w:val="5B8A6D50"/>
    <w:rsid w:val="5BA57CCD"/>
    <w:rsid w:val="5BC46F3C"/>
    <w:rsid w:val="5C0E3CA7"/>
    <w:rsid w:val="5CF92C6C"/>
    <w:rsid w:val="5D184442"/>
    <w:rsid w:val="5D482884"/>
    <w:rsid w:val="5D506D88"/>
    <w:rsid w:val="5D695F35"/>
    <w:rsid w:val="5D7E2C8C"/>
    <w:rsid w:val="5DCB10FC"/>
    <w:rsid w:val="5DDB54F3"/>
    <w:rsid w:val="5DEC7C9A"/>
    <w:rsid w:val="5E1E17DF"/>
    <w:rsid w:val="5E4F5A5B"/>
    <w:rsid w:val="5E676A86"/>
    <w:rsid w:val="5E6D4B02"/>
    <w:rsid w:val="5F786A2E"/>
    <w:rsid w:val="5F7A1E8F"/>
    <w:rsid w:val="5FC060E7"/>
    <w:rsid w:val="5FEE4CF7"/>
    <w:rsid w:val="60204F20"/>
    <w:rsid w:val="60A36EBC"/>
    <w:rsid w:val="60E87B93"/>
    <w:rsid w:val="616A1854"/>
    <w:rsid w:val="62EB1005"/>
    <w:rsid w:val="63554DC3"/>
    <w:rsid w:val="63563BDC"/>
    <w:rsid w:val="6373558B"/>
    <w:rsid w:val="63EF2D2D"/>
    <w:rsid w:val="63F307F1"/>
    <w:rsid w:val="64890F6B"/>
    <w:rsid w:val="65D5027E"/>
    <w:rsid w:val="663B03F5"/>
    <w:rsid w:val="66451D4F"/>
    <w:rsid w:val="664F0881"/>
    <w:rsid w:val="66B337D9"/>
    <w:rsid w:val="68091AE6"/>
    <w:rsid w:val="6851088E"/>
    <w:rsid w:val="6870136B"/>
    <w:rsid w:val="68D37F11"/>
    <w:rsid w:val="6904253B"/>
    <w:rsid w:val="6926305E"/>
    <w:rsid w:val="69AA3E65"/>
    <w:rsid w:val="6A197A07"/>
    <w:rsid w:val="6AC0628A"/>
    <w:rsid w:val="6AE75159"/>
    <w:rsid w:val="6B8D6BAC"/>
    <w:rsid w:val="6BB61FF0"/>
    <w:rsid w:val="6C257DC9"/>
    <w:rsid w:val="6C723AA1"/>
    <w:rsid w:val="6C844F97"/>
    <w:rsid w:val="6CF71286"/>
    <w:rsid w:val="6D10147F"/>
    <w:rsid w:val="6D5B5AA3"/>
    <w:rsid w:val="6D781DCA"/>
    <w:rsid w:val="6DA8096C"/>
    <w:rsid w:val="6DFA28A0"/>
    <w:rsid w:val="6E0700A2"/>
    <w:rsid w:val="6E4A7228"/>
    <w:rsid w:val="6E4D1066"/>
    <w:rsid w:val="6EBD0B63"/>
    <w:rsid w:val="6F021B69"/>
    <w:rsid w:val="6F780ECE"/>
    <w:rsid w:val="6F8D5614"/>
    <w:rsid w:val="6FA2752A"/>
    <w:rsid w:val="6FBA15AD"/>
    <w:rsid w:val="700E695E"/>
    <w:rsid w:val="707034B0"/>
    <w:rsid w:val="70D136F7"/>
    <w:rsid w:val="70D71757"/>
    <w:rsid w:val="714A315F"/>
    <w:rsid w:val="729850DF"/>
    <w:rsid w:val="736F4B3B"/>
    <w:rsid w:val="737B3343"/>
    <w:rsid w:val="738B1ED8"/>
    <w:rsid w:val="74131E8A"/>
    <w:rsid w:val="7452286B"/>
    <w:rsid w:val="748051BD"/>
    <w:rsid w:val="74DF6B36"/>
    <w:rsid w:val="74F93924"/>
    <w:rsid w:val="750405F8"/>
    <w:rsid w:val="758D6FDD"/>
    <w:rsid w:val="75AC506F"/>
    <w:rsid w:val="75DF089C"/>
    <w:rsid w:val="761069E7"/>
    <w:rsid w:val="764044A0"/>
    <w:rsid w:val="76560A57"/>
    <w:rsid w:val="76B373DB"/>
    <w:rsid w:val="76CC2063"/>
    <w:rsid w:val="76F033E7"/>
    <w:rsid w:val="77015E89"/>
    <w:rsid w:val="77AF6AA1"/>
    <w:rsid w:val="78636A7C"/>
    <w:rsid w:val="78BD3B54"/>
    <w:rsid w:val="790B6E54"/>
    <w:rsid w:val="79145D28"/>
    <w:rsid w:val="795668A0"/>
    <w:rsid w:val="798F75E8"/>
    <w:rsid w:val="79FD5A96"/>
    <w:rsid w:val="7AA6292A"/>
    <w:rsid w:val="7AFB2CC8"/>
    <w:rsid w:val="7B302C5B"/>
    <w:rsid w:val="7BB5711B"/>
    <w:rsid w:val="7BC010EE"/>
    <w:rsid w:val="7BCA5110"/>
    <w:rsid w:val="7C06786C"/>
    <w:rsid w:val="7C3540B7"/>
    <w:rsid w:val="7C934752"/>
    <w:rsid w:val="7CFE7E5B"/>
    <w:rsid w:val="7D221CF1"/>
    <w:rsid w:val="7D7E355E"/>
    <w:rsid w:val="7D8C2A6F"/>
    <w:rsid w:val="7DE8487A"/>
    <w:rsid w:val="7F221109"/>
    <w:rsid w:val="7F412023"/>
    <w:rsid w:val="7F50352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22"/>
    <w:qFormat/>
    <w:uiPriority w:val="0"/>
    <w:pPr>
      <w:spacing w:beforeAutospacing="1" w:afterAutospacing="1"/>
      <w:jc w:val="left"/>
      <w:outlineLvl w:val="0"/>
    </w:pPr>
    <w:rPr>
      <w:rFonts w:ascii="宋体" w:hAnsi="宋体"/>
      <w:b/>
      <w:kern w:val="44"/>
      <w:sz w:val="48"/>
      <w:szCs w:val="48"/>
    </w:rPr>
  </w:style>
  <w:style w:type="paragraph" w:styleId="4">
    <w:name w:val="heading 2"/>
    <w:basedOn w:val="1"/>
    <w:next w:val="1"/>
    <w:qFormat/>
    <w:uiPriority w:val="0"/>
    <w:pPr>
      <w:spacing w:beforeAutospacing="1" w:afterAutospacing="1"/>
      <w:jc w:val="left"/>
      <w:outlineLvl w:val="1"/>
    </w:pPr>
    <w:rPr>
      <w:rFonts w:hint="eastAsia" w:ascii="宋体" w:hAnsi="宋体" w:eastAsia="宋体" w:cs="Times New Roman"/>
      <w:b/>
      <w:kern w:val="0"/>
      <w:sz w:val="36"/>
      <w:szCs w:val="36"/>
    </w:rPr>
  </w:style>
  <w:style w:type="paragraph" w:styleId="5">
    <w:name w:val="heading 4"/>
    <w:basedOn w:val="1"/>
    <w:next w:val="1"/>
    <w:qFormat/>
    <w:uiPriority w:val="9"/>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17">
    <w:name w:val="Default Paragraph Font"/>
    <w:unhideWhenUsed/>
    <w:qFormat/>
    <w:uiPriority w:val="1"/>
  </w:style>
  <w:style w:type="table" w:default="1" w:styleId="15">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Calibri" w:hAnsi="Calibri" w:eastAsia="宋体" w:cs="Times New Roman"/>
    </w:rPr>
  </w:style>
  <w:style w:type="paragraph" w:styleId="6">
    <w:name w:val="annotation text"/>
    <w:basedOn w:val="1"/>
    <w:unhideWhenUsed/>
    <w:qFormat/>
    <w:uiPriority w:val="99"/>
    <w:pPr>
      <w:jc w:val="left"/>
    </w:pPr>
  </w:style>
  <w:style w:type="paragraph" w:styleId="7">
    <w:name w:val="Body Text"/>
    <w:basedOn w:val="1"/>
    <w:link w:val="23"/>
    <w:qFormat/>
    <w:uiPriority w:val="0"/>
    <w:pPr>
      <w:spacing w:after="120"/>
    </w:pPr>
    <w:rPr>
      <w:rFonts w:ascii="Calibri" w:hAnsi="Calibri"/>
      <w:kern w:val="0"/>
      <w:sz w:val="20"/>
      <w:szCs w:val="20"/>
    </w:rPr>
  </w:style>
  <w:style w:type="paragraph" w:styleId="8">
    <w:name w:val="Plain Text"/>
    <w:basedOn w:val="1"/>
    <w:qFormat/>
    <w:uiPriority w:val="0"/>
    <w:rPr>
      <w:rFonts w:hint="eastAsia" w:ascii="宋体" w:hAnsi="Courier New" w:cs="Courier New"/>
      <w:szCs w:val="21"/>
    </w:rPr>
  </w:style>
  <w:style w:type="paragraph" w:styleId="9">
    <w:name w:val="Body Text Indent 2"/>
    <w:basedOn w:val="1"/>
    <w:link w:val="24"/>
    <w:qFormat/>
    <w:uiPriority w:val="0"/>
    <w:pPr>
      <w:tabs>
        <w:tab w:val="left" w:pos="3680"/>
      </w:tabs>
      <w:adjustRightInd w:val="0"/>
      <w:snapToGrid w:val="0"/>
      <w:spacing w:line="590" w:lineRule="exact"/>
      <w:ind w:left="1280" w:leftChars="100" w:hanging="960" w:hangingChars="300"/>
    </w:pPr>
    <w:rPr>
      <w:rFonts w:ascii="宋体" w:hAnsi="宋体" w:eastAsia="仿宋_GB2312"/>
      <w:kern w:val="0"/>
      <w:sz w:val="32"/>
      <w:szCs w:val="20"/>
    </w:rPr>
  </w:style>
  <w:style w:type="paragraph" w:styleId="10">
    <w:name w:val="footer"/>
    <w:basedOn w:val="1"/>
    <w:link w:val="25"/>
    <w:qFormat/>
    <w:uiPriority w:val="0"/>
    <w:pPr>
      <w:tabs>
        <w:tab w:val="center" w:pos="4153"/>
        <w:tab w:val="right" w:pos="8306"/>
      </w:tabs>
      <w:snapToGrid w:val="0"/>
      <w:jc w:val="left"/>
    </w:pPr>
    <w:rPr>
      <w:rFonts w:ascii="Calibri" w:hAnsi="Calibri"/>
      <w:kern w:val="0"/>
      <w:sz w:val="18"/>
      <w:szCs w:val="18"/>
    </w:rPr>
  </w:style>
  <w:style w:type="paragraph" w:styleId="11">
    <w:name w:val="header"/>
    <w:basedOn w:val="1"/>
    <w:link w:val="26"/>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13">
    <w:name w:val="Normal (Web)"/>
    <w:basedOn w:val="1"/>
    <w:qFormat/>
    <w:uiPriority w:val="0"/>
    <w:pPr>
      <w:widowControl/>
      <w:spacing w:before="100" w:beforeAutospacing="1" w:after="100" w:afterAutospacing="1"/>
      <w:jc w:val="left"/>
    </w:pPr>
    <w:rPr>
      <w:rFonts w:ascii="宋体" w:hAnsi="宋体" w:eastAsia="宋体" w:cs="宋体"/>
      <w:kern w:val="0"/>
      <w:sz w:val="24"/>
    </w:rPr>
  </w:style>
  <w:style w:type="paragraph" w:styleId="14">
    <w:name w:val="Title"/>
    <w:basedOn w:val="1"/>
    <w:next w:val="1"/>
    <w:qFormat/>
    <w:uiPriority w:val="10"/>
    <w:pPr>
      <w:spacing w:before="240" w:after="60"/>
      <w:jc w:val="center"/>
      <w:outlineLvl w:val="0"/>
    </w:pPr>
    <w:rPr>
      <w:rFonts w:ascii="Cambria" w:hAnsi="Cambria" w:eastAsia="宋体" w:cs="Times New Roman"/>
      <w:b/>
      <w:bCs/>
      <w:sz w:val="32"/>
      <w:szCs w:val="32"/>
    </w:rPr>
  </w:style>
  <w:style w:type="table" w:styleId="16">
    <w:name w:val="Table Grid"/>
    <w:basedOn w:val="1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basedOn w:val="17"/>
    <w:qFormat/>
    <w:uiPriority w:val="0"/>
    <w:rPr>
      <w:b/>
    </w:rPr>
  </w:style>
  <w:style w:type="character" w:styleId="19">
    <w:name w:val="page number"/>
    <w:basedOn w:val="17"/>
    <w:qFormat/>
    <w:uiPriority w:val="0"/>
  </w:style>
  <w:style w:type="character" w:styleId="20">
    <w:name w:val="Hyperlink"/>
    <w:basedOn w:val="17"/>
    <w:qFormat/>
    <w:uiPriority w:val="0"/>
    <w:rPr>
      <w:rFonts w:cs="Times New Roman"/>
      <w:color w:val="0000FF"/>
      <w:u w:val="single"/>
    </w:rPr>
  </w:style>
  <w:style w:type="paragraph" w:customStyle="1" w:styleId="21">
    <w:name w:val="Char Char Char Char"/>
    <w:basedOn w:val="1"/>
    <w:qFormat/>
    <w:uiPriority w:val="0"/>
    <w:rPr>
      <w:rFonts w:ascii="Calibri" w:hAnsi="Calibri" w:eastAsia="宋体" w:cs="Times New Roman"/>
    </w:rPr>
  </w:style>
  <w:style w:type="character" w:customStyle="1" w:styleId="22">
    <w:name w:val="标题 1 Char"/>
    <w:link w:val="3"/>
    <w:qFormat/>
    <w:uiPriority w:val="0"/>
    <w:rPr>
      <w:rFonts w:ascii="宋体" w:hAnsi="宋体" w:eastAsia="宋体" w:cs="Times New Roman"/>
      <w:b/>
      <w:kern w:val="44"/>
      <w:sz w:val="48"/>
      <w:szCs w:val="48"/>
    </w:rPr>
  </w:style>
  <w:style w:type="character" w:customStyle="1" w:styleId="23">
    <w:name w:val="正文文本 Char"/>
    <w:link w:val="7"/>
    <w:qFormat/>
    <w:uiPriority w:val="0"/>
    <w:rPr>
      <w:rFonts w:ascii="Calibri" w:hAnsi="Calibri" w:eastAsia="宋体" w:cs="Times New Roman"/>
    </w:rPr>
  </w:style>
  <w:style w:type="character" w:customStyle="1" w:styleId="24">
    <w:name w:val="正文文本缩进 2 Char"/>
    <w:link w:val="9"/>
    <w:qFormat/>
    <w:uiPriority w:val="0"/>
    <w:rPr>
      <w:rFonts w:ascii="宋体" w:hAnsi="宋体" w:eastAsia="仿宋_GB2312" w:cs="Times New Roman"/>
      <w:sz w:val="32"/>
    </w:rPr>
  </w:style>
  <w:style w:type="character" w:customStyle="1" w:styleId="25">
    <w:name w:val="页脚 Char"/>
    <w:link w:val="10"/>
    <w:qFormat/>
    <w:uiPriority w:val="0"/>
    <w:rPr>
      <w:rFonts w:ascii="Calibri" w:hAnsi="Calibri" w:eastAsia="宋体" w:cs="Times New Roman"/>
      <w:sz w:val="18"/>
      <w:szCs w:val="18"/>
    </w:rPr>
  </w:style>
  <w:style w:type="character" w:customStyle="1" w:styleId="26">
    <w:name w:val="页眉 Char"/>
    <w:link w:val="11"/>
    <w:qFormat/>
    <w:uiPriority w:val="0"/>
    <w:rPr>
      <w:rFonts w:ascii="Calibri" w:hAnsi="Calibri" w:eastAsia="宋体" w:cs="Times New Roman"/>
      <w:sz w:val="18"/>
      <w:szCs w:val="18"/>
    </w:rPr>
  </w:style>
  <w:style w:type="character" w:customStyle="1" w:styleId="27">
    <w:name w:val="正文文本 (2) + 间距 6 pt"/>
    <w:qFormat/>
    <w:uiPriority w:val="0"/>
    <w:rPr>
      <w:rFonts w:ascii="宋体" w:hAnsi="宋体" w:eastAsia="宋体" w:cs="宋体"/>
      <w:color w:val="000000"/>
      <w:spacing w:val="130"/>
      <w:w w:val="100"/>
      <w:position w:val="0"/>
      <w:sz w:val="14"/>
      <w:szCs w:val="14"/>
      <w:u w:val="none"/>
      <w:lang w:val="zh-CN" w:eastAsia="zh-CN" w:bidi="zh-CN"/>
    </w:rPr>
  </w:style>
  <w:style w:type="character" w:customStyle="1" w:styleId="28">
    <w:name w:val="font01"/>
    <w:basedOn w:val="17"/>
    <w:qFormat/>
    <w:uiPriority w:val="0"/>
    <w:rPr>
      <w:rFonts w:hint="eastAsia" w:ascii="宋体" w:hAnsi="宋体" w:eastAsia="宋体" w:cs="宋体"/>
      <w:color w:val="000000"/>
      <w:sz w:val="22"/>
      <w:szCs w:val="22"/>
      <w:u w:val="none"/>
    </w:rPr>
  </w:style>
  <w:style w:type="character" w:customStyle="1" w:styleId="29">
    <w:name w:val="页脚 字符"/>
    <w:qFormat/>
    <w:uiPriority w:val="0"/>
    <w:rPr>
      <w:sz w:val="18"/>
      <w:szCs w:val="18"/>
    </w:rPr>
  </w:style>
  <w:style w:type="character" w:customStyle="1" w:styleId="30">
    <w:name w:val="font61"/>
    <w:qFormat/>
    <w:uiPriority w:val="0"/>
    <w:rPr>
      <w:rFonts w:hint="default" w:ascii="Times New Roman" w:hAnsi="Times New Roman" w:cs="Times New Roman"/>
      <w:color w:val="000000"/>
      <w:sz w:val="22"/>
      <w:szCs w:val="22"/>
      <w:u w:val="none"/>
    </w:rPr>
  </w:style>
  <w:style w:type="character" w:customStyle="1" w:styleId="31">
    <w:name w:val="font51"/>
    <w:qFormat/>
    <w:uiPriority w:val="0"/>
    <w:rPr>
      <w:rFonts w:ascii="微软雅黑 Bold" w:hAnsi="微软雅黑 Bold" w:eastAsia="微软雅黑 Bold" w:cs="微软雅黑 Bold"/>
      <w:b/>
      <w:color w:val="4E4E4E"/>
      <w:sz w:val="36"/>
      <w:szCs w:val="36"/>
      <w:u w:val="none"/>
    </w:rPr>
  </w:style>
  <w:style w:type="character" w:customStyle="1" w:styleId="32">
    <w:name w:val="批注框文本 Char Char Char Char"/>
    <w:link w:val="33"/>
    <w:qFormat/>
    <w:uiPriority w:val="0"/>
    <w:rPr>
      <w:rFonts w:ascii="Calibri" w:hAnsi="Calibri" w:eastAsia="宋体" w:cs="Times New Roman"/>
      <w:sz w:val="18"/>
      <w:szCs w:val="18"/>
    </w:rPr>
  </w:style>
  <w:style w:type="paragraph" w:customStyle="1" w:styleId="33">
    <w:name w:val="批注框文本 Char Char"/>
    <w:basedOn w:val="1"/>
    <w:link w:val="32"/>
    <w:qFormat/>
    <w:uiPriority w:val="0"/>
    <w:rPr>
      <w:rFonts w:ascii="Calibri" w:hAnsi="Calibri"/>
      <w:kern w:val="0"/>
      <w:sz w:val="18"/>
      <w:szCs w:val="18"/>
    </w:rPr>
  </w:style>
  <w:style w:type="character" w:customStyle="1" w:styleId="34">
    <w:name w:val="正文文本 (2) + Franklin Gothic Medium"/>
    <w:qFormat/>
    <w:uiPriority w:val="0"/>
    <w:rPr>
      <w:rFonts w:ascii="Franklin Gothic Medium" w:hAnsi="Franklin Gothic Medium" w:eastAsia="Franklin Gothic Medium" w:cs="Franklin Gothic Medium"/>
      <w:b/>
      <w:bCs/>
      <w:color w:val="000000"/>
      <w:spacing w:val="0"/>
      <w:w w:val="100"/>
      <w:position w:val="0"/>
      <w:sz w:val="16"/>
      <w:szCs w:val="16"/>
      <w:u w:val="none"/>
      <w:lang w:val="zh-CN" w:eastAsia="zh-CN" w:bidi="zh-CN"/>
    </w:rPr>
  </w:style>
  <w:style w:type="character" w:customStyle="1" w:styleId="35">
    <w:name w:val="正文文本 (2)_"/>
    <w:link w:val="36"/>
    <w:qFormat/>
    <w:uiPriority w:val="0"/>
    <w:rPr>
      <w:rFonts w:ascii="宋体" w:hAnsi="宋体" w:eastAsia="宋体" w:cs="宋体"/>
      <w:spacing w:val="-10"/>
      <w:sz w:val="14"/>
      <w:szCs w:val="14"/>
    </w:rPr>
  </w:style>
  <w:style w:type="paragraph" w:customStyle="1" w:styleId="36">
    <w:name w:val="正文文本 (2)"/>
    <w:basedOn w:val="1"/>
    <w:link w:val="35"/>
    <w:qFormat/>
    <w:uiPriority w:val="0"/>
    <w:pPr>
      <w:shd w:val="clear" w:color="auto" w:fill="FFFFFF"/>
      <w:spacing w:before="120" w:line="180" w:lineRule="exact"/>
      <w:ind w:hanging="340"/>
    </w:pPr>
    <w:rPr>
      <w:rFonts w:ascii="宋体" w:hAnsi="宋体"/>
      <w:spacing w:val="-10"/>
      <w:kern w:val="0"/>
      <w:sz w:val="14"/>
      <w:szCs w:val="14"/>
    </w:rPr>
  </w:style>
  <w:style w:type="character" w:customStyle="1" w:styleId="37">
    <w:name w:val="font71"/>
    <w:basedOn w:val="17"/>
    <w:qFormat/>
    <w:uiPriority w:val="0"/>
    <w:rPr>
      <w:rFonts w:hint="default" w:ascii="Times New Roman" w:hAnsi="Times New Roman" w:cs="Times New Roman"/>
      <w:color w:val="000000"/>
      <w:sz w:val="20"/>
      <w:szCs w:val="20"/>
      <w:u w:val="none"/>
    </w:rPr>
  </w:style>
  <w:style w:type="character" w:customStyle="1" w:styleId="38">
    <w:name w:val="font31"/>
    <w:qFormat/>
    <w:uiPriority w:val="0"/>
    <w:rPr>
      <w:rFonts w:hint="eastAsia" w:ascii="宋体" w:hAnsi="宋体" w:eastAsia="宋体" w:cs="宋体"/>
      <w:color w:val="000000"/>
      <w:sz w:val="28"/>
      <w:szCs w:val="28"/>
      <w:u w:val="none"/>
    </w:rPr>
  </w:style>
  <w:style w:type="character" w:customStyle="1" w:styleId="39">
    <w:name w:val="font81"/>
    <w:basedOn w:val="17"/>
    <w:qFormat/>
    <w:uiPriority w:val="0"/>
    <w:rPr>
      <w:rFonts w:hint="eastAsia" w:ascii="宋体" w:hAnsi="宋体" w:eastAsia="宋体" w:cs="宋体"/>
      <w:color w:val="000000"/>
      <w:sz w:val="20"/>
      <w:szCs w:val="20"/>
      <w:u w:val="none"/>
    </w:rPr>
  </w:style>
  <w:style w:type="character" w:customStyle="1" w:styleId="40">
    <w:name w:val="页码1"/>
    <w:basedOn w:val="17"/>
    <w:qFormat/>
    <w:uiPriority w:val="0"/>
  </w:style>
  <w:style w:type="character" w:customStyle="1" w:styleId="41">
    <w:name w:val="正文文本 (2)1"/>
    <w:qFormat/>
    <w:uiPriority w:val="0"/>
    <w:rPr>
      <w:rFonts w:ascii="宋体" w:hAnsi="宋体" w:eastAsia="宋体" w:cs="宋体"/>
      <w:color w:val="000000"/>
      <w:spacing w:val="-10"/>
      <w:w w:val="100"/>
      <w:position w:val="0"/>
      <w:sz w:val="14"/>
      <w:szCs w:val="14"/>
      <w:u w:val="none"/>
      <w:lang w:val="zh-CN" w:eastAsia="zh-CN" w:bidi="zh-CN"/>
    </w:rPr>
  </w:style>
  <w:style w:type="character" w:customStyle="1" w:styleId="42">
    <w:name w:val="标题1"/>
    <w:qFormat/>
    <w:uiPriority w:val="99"/>
  </w:style>
  <w:style w:type="character" w:customStyle="1" w:styleId="43">
    <w:name w:val="font41"/>
    <w:qFormat/>
    <w:uiPriority w:val="0"/>
    <w:rPr>
      <w:rFonts w:hint="eastAsia" w:ascii="宋体" w:hAnsi="宋体" w:eastAsia="宋体" w:cs="宋体"/>
      <w:color w:val="000000"/>
      <w:sz w:val="22"/>
      <w:szCs w:val="22"/>
      <w:u w:val="none"/>
    </w:rPr>
  </w:style>
  <w:style w:type="character" w:customStyle="1" w:styleId="44">
    <w:name w:val="font21"/>
    <w:basedOn w:val="17"/>
    <w:qFormat/>
    <w:uiPriority w:val="0"/>
    <w:rPr>
      <w:rFonts w:hint="eastAsia" w:ascii="宋体" w:hAnsi="宋体" w:eastAsia="宋体" w:cs="宋体"/>
      <w:color w:val="000000"/>
      <w:sz w:val="22"/>
      <w:szCs w:val="22"/>
      <w:u w:val="none"/>
    </w:rPr>
  </w:style>
  <w:style w:type="paragraph" w:customStyle="1" w:styleId="45">
    <w:name w:val="简单回函地址"/>
    <w:basedOn w:val="1"/>
    <w:qFormat/>
    <w:uiPriority w:val="0"/>
    <w:rPr>
      <w:rFonts w:ascii="宋体" w:hAnsi="宋体" w:eastAsia="仿宋_GB2312"/>
      <w:sz w:val="32"/>
    </w:rPr>
  </w:style>
  <w:style w:type="paragraph" w:customStyle="1" w:styleId="46">
    <w:name w:val="_Style 1"/>
    <w:basedOn w:val="1"/>
    <w:qFormat/>
    <w:uiPriority w:val="34"/>
    <w:pPr>
      <w:ind w:firstLine="420" w:firstLineChars="200"/>
    </w:pPr>
  </w:style>
  <w:style w:type="paragraph" w:customStyle="1" w:styleId="47">
    <w:name w:val="普通(网站)1"/>
    <w:basedOn w:val="1"/>
    <w:qFormat/>
    <w:uiPriority w:val="0"/>
    <w:pPr>
      <w:widowControl/>
      <w:spacing w:before="100" w:beforeAutospacing="1" w:after="100" w:afterAutospacing="1"/>
      <w:jc w:val="left"/>
    </w:pPr>
    <w:rPr>
      <w:rFonts w:ascii="宋体" w:hAnsi="宋体" w:eastAsia="宋体" w:cs="宋体"/>
      <w:color w:val="000000"/>
      <w:kern w:val="0"/>
      <w:sz w:val="24"/>
    </w:rPr>
  </w:style>
  <w:style w:type="paragraph" w:customStyle="1" w:styleId="48">
    <w:name w:val="标题 #1"/>
    <w:basedOn w:val="1"/>
    <w:qFormat/>
    <w:uiPriority w:val="0"/>
    <w:pPr>
      <w:shd w:val="clear" w:color="auto" w:fill="FFFFFF"/>
      <w:spacing w:before="480" w:beforeLines="0" w:after="480" w:afterLines="0" w:line="0" w:lineRule="atLeast"/>
      <w:jc w:val="center"/>
      <w:outlineLvl w:val="0"/>
    </w:pPr>
    <w:rPr>
      <w:rFonts w:ascii="宋体" w:hAnsi="宋体" w:eastAsia="宋体" w:cs="宋体"/>
      <w:sz w:val="28"/>
      <w:szCs w:val="28"/>
    </w:rPr>
  </w:style>
  <w:style w:type="paragraph" w:customStyle="1" w:styleId="49">
    <w:name w:val="正文缩进1"/>
    <w:basedOn w:val="2"/>
    <w:qFormat/>
    <w:uiPriority w:val="99"/>
    <w:pPr>
      <w:adjustRightInd w:val="0"/>
      <w:snapToGrid w:val="0"/>
      <w:spacing w:line="360" w:lineRule="auto"/>
      <w:ind w:left="960" w:hanging="478" w:firstLineChars="0"/>
      <w:textAlignment w:val="baseline"/>
    </w:pPr>
    <w:rPr>
      <w:rFonts w:ascii="仿宋_GB2312" w:hAnsi="Times New Roman" w:eastAsia="仿宋_GB2312" w:cs="仿宋_GB2312"/>
      <w:color w:val="000000"/>
      <w:spacing w:val="6"/>
      <w:kern w:val="0"/>
      <w:sz w:val="24"/>
      <w:szCs w:val="24"/>
    </w:rPr>
  </w:style>
  <w:style w:type="paragraph" w:customStyle="1" w:styleId="50">
    <w:name w:val="正文 New"/>
    <w:qFormat/>
    <w:uiPriority w:val="0"/>
    <w:pPr>
      <w:jc w:val="both"/>
    </w:pPr>
    <w:rPr>
      <w:rFonts w:ascii="Calibri" w:hAnsi="Calibri" w:eastAsia="宋体" w:cs="宋体"/>
      <w:kern w:val="2"/>
      <w:sz w:val="21"/>
      <w:lang w:val="en-US" w:eastAsia="zh-CN" w:bidi="ar-SA"/>
    </w:rPr>
  </w:style>
  <w:style w:type="paragraph" w:customStyle="1" w:styleId="51">
    <w:name w:val="HTML 地址1"/>
    <w:basedOn w:val="1"/>
    <w:qFormat/>
    <w:uiPriority w:val="0"/>
    <w:pPr>
      <w:widowControl/>
      <w:spacing w:before="100" w:beforeAutospacing="1" w:after="100" w:afterAutospacing="1"/>
      <w:jc w:val="left"/>
    </w:pPr>
    <w:rPr>
      <w:rFonts w:ascii="宋体" w:hAnsi="宋体" w:cs="宋体"/>
      <w:kern w:val="0"/>
      <w:sz w:val="24"/>
      <w:szCs w:val="22"/>
    </w:rPr>
  </w:style>
  <w:style w:type="paragraph" w:customStyle="1" w:styleId="52">
    <w:name w:val="p15"/>
    <w:basedOn w:val="1"/>
    <w:qFormat/>
    <w:uiPriority w:val="0"/>
    <w:pPr>
      <w:widowControl/>
      <w:ind w:firstLine="420"/>
    </w:pPr>
    <w:rPr>
      <w:rFonts w:eastAsia="宋体" w:cs="宋体"/>
      <w:kern w:val="0"/>
      <w:szCs w:val="21"/>
    </w:rPr>
  </w:style>
  <w:style w:type="paragraph" w:customStyle="1" w:styleId="53">
    <w:name w:val="Normal (Web)"/>
    <w:basedOn w:val="1"/>
    <w:qFormat/>
    <w:uiPriority w:val="0"/>
    <w:pPr>
      <w:adjustRightInd/>
      <w:snapToGrid/>
      <w:spacing w:before="100" w:beforeLines="0" w:beforeAutospacing="1" w:after="100" w:afterLines="0" w:afterAutospacing="1"/>
    </w:pPr>
    <w:rPr>
      <w:rFonts w:ascii="宋体" w:hAnsi="宋体" w:eastAsia="宋体"/>
      <w:sz w:val="24"/>
      <w:szCs w:val="24"/>
    </w:rPr>
  </w:style>
  <w:style w:type="paragraph" w:customStyle="1" w:styleId="54">
    <w:name w:val="custom_unionsty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5">
    <w:name w:val="List Paragraph1"/>
    <w:basedOn w:val="1"/>
    <w:qFormat/>
    <w:uiPriority w:val="0"/>
    <w:pPr>
      <w:ind w:firstLine="420" w:firstLineChars="200"/>
    </w:pPr>
  </w:style>
  <w:style w:type="paragraph" w:customStyle="1" w:styleId="56">
    <w:name w:val="p0"/>
    <w:basedOn w:val="1"/>
    <w:qFormat/>
    <w:uiPriority w:val="0"/>
    <w:pPr>
      <w:widowControl/>
    </w:pPr>
    <w:rPr>
      <w:rFonts w:eastAsia="宋体" w:cs="宋体"/>
      <w:kern w:val="0"/>
      <w:szCs w:val="21"/>
    </w:rPr>
  </w:style>
  <w:style w:type="paragraph" w:customStyle="1" w:styleId="57">
    <w:name w:val="_Style 6"/>
    <w:basedOn w:val="1"/>
    <w:qFormat/>
    <w:uiPriority w:val="0"/>
    <w:pPr>
      <w:autoSpaceDE w:val="0"/>
      <w:autoSpaceDN w:val="0"/>
      <w:adjustRightInd w:val="0"/>
      <w:jc w:val="left"/>
    </w:pPr>
    <w:rPr>
      <w:rFonts w:ascii="Tahoma" w:hAnsi="Tahoma"/>
      <w:kern w:val="0"/>
      <w:sz w:val="24"/>
      <w:szCs w:val="20"/>
    </w:rPr>
  </w:style>
  <w:style w:type="paragraph" w:styleId="58">
    <w:name w:val="List Paragraph"/>
    <w:basedOn w:val="1"/>
    <w:qFormat/>
    <w:uiPriority w:val="99"/>
    <w:pPr>
      <w:ind w:firstLine="420" w:firstLineChars="200"/>
    </w:pPr>
  </w:style>
  <w:style w:type="character" w:customStyle="1" w:styleId="59">
    <w:name w:val="bjh-strong"/>
    <w:qFormat/>
    <w:uiPriority w:val="0"/>
  </w:style>
  <w:style w:type="character" w:customStyle="1" w:styleId="60">
    <w:name w:val="bjh-p"/>
    <w:qFormat/>
    <w:uiPriority w:val="0"/>
  </w:style>
  <w:style w:type="paragraph" w:customStyle="1" w:styleId="61">
    <w:name w:val="Heading #2|1"/>
    <w:basedOn w:val="1"/>
    <w:qFormat/>
    <w:uiPriority w:val="0"/>
    <w:pPr>
      <w:spacing w:before="750" w:after="260" w:line="725" w:lineRule="exact"/>
      <w:jc w:val="center"/>
      <w:outlineLvl w:val="1"/>
    </w:pPr>
    <w:rPr>
      <w:rFonts w:ascii="宋体" w:cs="宋体"/>
      <w:color w:val="000000"/>
      <w:kern w:val="0"/>
      <w:sz w:val="42"/>
      <w:szCs w:val="42"/>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2.png"/><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header" Target="header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98</Pages>
  <Words>58476</Words>
  <Characters>59538</Characters>
  <Lines>319</Lines>
  <Paragraphs>89</Paragraphs>
  <TotalTime>21</TotalTime>
  <ScaleCrop>false</ScaleCrop>
  <LinksUpToDate>false</LinksUpToDate>
  <CharactersWithSpaces>59587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2019-08-27T10:01:00Z</dcterms:created>
  <dc:creator>Administrator</dc:creator>
  <cp:lastModifiedBy>SXX</cp:lastModifiedBy>
  <cp:lastPrinted>2021-08-12T03:49:00Z</cp:lastPrinted>
  <dcterms:modified xsi:type="dcterms:W3CDTF">2021-08-16T03:43:01Z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1D46B7137A7647A6868ACA37813D8234</vt:lpwstr>
  </property>
  <property fmtid="{D5CDD505-2E9C-101B-9397-08002B2CF9AE}" pid="4" name="KSOSaveFontToCloudKey">
    <vt:lpwstr>308619229_cloud</vt:lpwstr>
  </property>
</Properties>
</file>