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7E65E8">
        <w:rPr>
          <w:rFonts w:ascii="宋体" w:hAnsi="宋体" w:hint="eastAsia"/>
          <w:b/>
          <w:position w:val="-20"/>
          <w:sz w:val="28"/>
          <w:szCs w:val="28"/>
        </w:rPr>
        <w:t>12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666D13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7E65E8" w:rsidRDefault="007E65E8" w:rsidP="007E65E8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济源市环境监测站                              2019年01月22日</w:t>
      </w:r>
    </w:p>
    <w:p w:rsidR="007E65E8" w:rsidRDefault="007E65E8" w:rsidP="007E65E8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一、环境空气质量状</w:t>
      </w:r>
      <w:r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7E65E8" w:rsidRDefault="007E65E8" w:rsidP="007E65E8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7E65E8" w:rsidRDefault="007E65E8" w:rsidP="007E65E8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12月份环境空气质量优、良天数16天，达标率51.9%，环比上升3.9个百分点（增加1天），同比下降6.2个百分点（减少2天）；1-12月份环境空气质量优、良天数183天，达标率55.8%，同比下降5.6个百分点（减少41天）。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7E65E8" w:rsidRDefault="007E65E8" w:rsidP="007E65E8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>
        <w:rPr>
          <w:rFonts w:ascii="仿宋_GB2312" w:eastAsia="仿宋_GB2312" w:hAnsi="宋体" w:hint="eastAsia"/>
          <w:b/>
          <w:sz w:val="32"/>
          <w:szCs w:val="32"/>
        </w:rPr>
        <w:t xml:space="preserve">表1  济源市12月份城市环境空气质量监测结果 </w:t>
      </w:r>
      <w:r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7E65E8" w:rsidTr="00870961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12月份达标率（%）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1-12月累计达标率（%）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1-12月累计达标天数（天）</w:t>
            </w:r>
          </w:p>
        </w:tc>
      </w:tr>
      <w:tr w:rsidR="007E65E8" w:rsidTr="00870961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7E65E8" w:rsidRDefault="007E65E8" w:rsidP="00870961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001" w:type="dxa"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290" w:type="dxa"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7E65E8" w:rsidRDefault="007E65E8" w:rsidP="00870961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7E65E8" w:rsidTr="00870961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Arial" w:cs="Arial" w:hint="eastAsia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51.9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55.8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61.4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-5.6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183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224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-41</w:t>
            </w:r>
          </w:p>
        </w:tc>
      </w:tr>
    </w:tbl>
    <w:p w:rsidR="007E65E8" w:rsidRDefault="007E65E8" w:rsidP="007E65E8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</w:rPr>
      </w:pPr>
      <w:r>
        <w:rPr>
          <w:rFonts w:ascii="仿宋_GB2312" w:eastAsia="仿宋_GB2312" w:hint="eastAsia"/>
          <w:b/>
          <w:bCs/>
          <w:kern w:val="0"/>
          <w:sz w:val="32"/>
          <w:szCs w:val="32"/>
        </w:rPr>
        <w:t>（2）污染物浓度水平</w:t>
      </w:r>
    </w:p>
    <w:p w:rsidR="007E65E8" w:rsidRDefault="007E65E8" w:rsidP="007E65E8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12月份，济源市PM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月均浓度为85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1.2%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，下降</w:t>
      </w:r>
      <w:r>
        <w:rPr>
          <w:rFonts w:eastAsia="仿宋_GB2312" w:hint="eastAsia"/>
          <w:color w:val="000000"/>
          <w:kern w:val="0"/>
          <w:sz w:val="32"/>
          <w:szCs w:val="32"/>
        </w:rPr>
        <w:t>1.2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1-12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3.2%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7E65E8" w:rsidRDefault="007E65E8" w:rsidP="007E65E8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220" distB="120015" distL="180975" distR="256540" simplePos="0" relativeHeight="251663360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421630" cy="1929765"/>
            <wp:effectExtent l="0" t="635" r="635" b="0"/>
            <wp:wrapSquare wrapText="bothSides"/>
            <wp:docPr id="100" name="对象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220" distB="120015" distL="180975" distR="256540" simplePos="0" relativeHeight="251662336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97525" cy="1990725"/>
            <wp:effectExtent l="635" t="635" r="0" b="0"/>
            <wp:wrapSquare wrapText="bothSides"/>
            <wp:docPr id="99" name="对象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12月份，济源市PM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月均浓度为131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20.7%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7.4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1-12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1.9%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7E65E8" w:rsidRDefault="007E65E8" w:rsidP="007E65E8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12月份，济源市</w:t>
      </w:r>
      <w:r>
        <w:rPr>
          <w:rFonts w:eastAsia="仿宋_GB2312"/>
          <w:color w:val="000000"/>
          <w:kern w:val="0"/>
          <w:sz w:val="32"/>
          <w:szCs w:val="32"/>
        </w:rPr>
        <w:t>SO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月均浓度为41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15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57.7%</w:t>
      </w:r>
      <w:r>
        <w:rPr>
          <w:rFonts w:eastAsia="仿宋_GB2312" w:hint="eastAsia"/>
          <w:color w:val="000000"/>
          <w:kern w:val="0"/>
          <w:sz w:val="32"/>
          <w:szCs w:val="32"/>
        </w:rPr>
        <w:t>，同比降低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4.7%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1-12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27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17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38.6%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7E65E8" w:rsidRDefault="007E65E8" w:rsidP="007E65E8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color w:val="000000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12月份，济源市</w:t>
      </w:r>
      <w:r>
        <w:rPr>
          <w:rFonts w:eastAsia="仿宋_GB2312" w:hint="eastAsia"/>
          <w:color w:val="000000"/>
          <w:kern w:val="0"/>
          <w:sz w:val="32"/>
          <w:szCs w:val="32"/>
        </w:rPr>
        <w:t>N</w:t>
      </w:r>
      <w:r>
        <w:rPr>
          <w:rFonts w:eastAsia="仿宋_GB2312"/>
          <w:color w:val="000000"/>
          <w:kern w:val="0"/>
          <w:sz w:val="32"/>
          <w:szCs w:val="32"/>
        </w:rPr>
        <w:t>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月均浓度为56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3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5.7%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持平；</w:t>
      </w:r>
      <w:r>
        <w:rPr>
          <w:rFonts w:eastAsia="仿宋_GB2312" w:hint="eastAsia"/>
          <w:color w:val="000000"/>
          <w:kern w:val="0"/>
          <w:sz w:val="32"/>
          <w:szCs w:val="32"/>
        </w:rPr>
        <w:t>1-12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40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持平。</w:t>
      </w:r>
    </w:p>
    <w:p w:rsidR="007E65E8" w:rsidRDefault="007E65E8" w:rsidP="007E65E8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（3）重污染天气状况</w:t>
      </w:r>
    </w:p>
    <w:p w:rsidR="007E65E8" w:rsidRDefault="007E65E8" w:rsidP="007E65E8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>
        <w:rPr>
          <w:rFonts w:eastAsia="仿宋_GB2312"/>
          <w:color w:val="000000"/>
          <w:kern w:val="0"/>
          <w:sz w:val="32"/>
          <w:szCs w:val="32"/>
        </w:rPr>
        <w:t>月份，</w:t>
      </w:r>
      <w:r>
        <w:rPr>
          <w:rFonts w:eastAsia="仿宋_GB2312" w:hint="eastAsia"/>
          <w:color w:val="000000"/>
          <w:kern w:val="0"/>
          <w:sz w:val="32"/>
          <w:szCs w:val="32"/>
        </w:rPr>
        <w:t>全市有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>
        <w:rPr>
          <w:rFonts w:eastAsia="仿宋_GB2312" w:hint="eastAsia"/>
          <w:color w:val="000000"/>
          <w:kern w:val="0"/>
          <w:sz w:val="32"/>
          <w:szCs w:val="32"/>
        </w:rPr>
        <w:t>天出现重污染天气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1-12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eastAsia="仿宋_GB2312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32</w:t>
      </w:r>
      <w:r>
        <w:rPr>
          <w:rFonts w:eastAsia="仿宋_GB2312" w:hint="eastAsia"/>
          <w:color w:val="000000"/>
          <w:kern w:val="0"/>
          <w:sz w:val="32"/>
          <w:szCs w:val="32"/>
        </w:rPr>
        <w:lastRenderedPageBreak/>
        <w:t>天出现重污染及以上天气。</w:t>
      </w:r>
    </w:p>
    <w:p w:rsidR="007E65E8" w:rsidRDefault="007E65E8" w:rsidP="007E65E8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7E65E8" w:rsidRDefault="007E65E8" w:rsidP="007E65E8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>
        <w:rPr>
          <w:rFonts w:eastAsia="仿宋_GB2312"/>
          <w:color w:val="000000"/>
          <w:kern w:val="0"/>
          <w:sz w:val="32"/>
          <w:szCs w:val="32"/>
        </w:rPr>
        <w:t>城市环境空气质量</w:t>
      </w:r>
      <w:r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7.515</w:t>
      </w:r>
      <w:r>
        <w:rPr>
          <w:rFonts w:eastAsia="仿宋_GB2312" w:hint="eastAsia"/>
          <w:color w:val="000000"/>
          <w:kern w:val="0"/>
          <w:sz w:val="32"/>
          <w:szCs w:val="32"/>
        </w:rPr>
        <w:t>，在全省排名第七。</w:t>
      </w:r>
    </w:p>
    <w:p w:rsidR="007E65E8" w:rsidRDefault="007E65E8" w:rsidP="007E65E8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>
        <w:rPr>
          <w:rFonts w:eastAsia="仿宋_GB2312"/>
          <w:b/>
          <w:color w:val="000000"/>
          <w:kern w:val="0"/>
          <w:sz w:val="32"/>
          <w:szCs w:val="32"/>
        </w:rPr>
        <w:t>排名</w:t>
      </w:r>
      <w:r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16</w:t>
      </w:r>
      <w:r>
        <w:rPr>
          <w:rFonts w:eastAsia="仿宋_GB2312" w:hint="eastAsia"/>
          <w:color w:val="000000"/>
          <w:kern w:val="0"/>
          <w:sz w:val="32"/>
          <w:szCs w:val="32"/>
        </w:rPr>
        <w:t>天，在全省排名第五；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月均浓度为85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与焦作在全省并列排名第五；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月均浓度为131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在全省排名第一。</w:t>
      </w:r>
    </w:p>
    <w:p w:rsidR="007E65E8" w:rsidRDefault="007E65E8" w:rsidP="007E65E8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7E65E8" w:rsidRDefault="007E65E8" w:rsidP="007E65E8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1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>
        <w:rPr>
          <w:rFonts w:ascii="仿宋_GB2312" w:eastAsia="仿宋_GB2312" w:hint="eastAsia"/>
          <w:color w:val="000000"/>
          <w:sz w:val="32"/>
          <w:szCs w:val="32"/>
        </w:rPr>
        <w:t xml:space="preserve">   12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color w:val="000000"/>
          <w:sz w:val="32"/>
          <w:szCs w:val="32"/>
          <w:lang w:val="en-US" w:eastAsia="zh-CN"/>
        </w:rPr>
        <w:t>III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河曲阳湖、沁河五龙口、黄河小浪底断面水质均为优；三个市控地表水监测断面：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断面水质为良好，蟒河南官庄断面水质为轻度污染，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河岔断面水质为重度污染。</w:t>
      </w:r>
    </w:p>
    <w:p w:rsidR="007E65E8" w:rsidRDefault="007E65E8" w:rsidP="007E65E8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表2  1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2月份地表水环境质量监测断面水质评价结果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7E65E8" w:rsidTr="00870961">
        <w:trPr>
          <w:trHeight w:val="598"/>
        </w:trPr>
        <w:tc>
          <w:tcPr>
            <w:tcW w:w="796" w:type="dxa"/>
            <w:vAlign w:val="center"/>
          </w:tcPr>
          <w:p w:rsidR="007E65E8" w:rsidRDefault="007E65E8" w:rsidP="00870961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7E65E8" w:rsidTr="00870961">
        <w:trPr>
          <w:trHeight w:val="435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7E65E8" w:rsidTr="00870961">
        <w:trPr>
          <w:trHeight w:val="377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7E65E8" w:rsidTr="00870961">
        <w:trPr>
          <w:trHeight w:val="369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3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7E65E8" w:rsidTr="00870961">
        <w:trPr>
          <w:trHeight w:val="375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良好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7E65E8" w:rsidTr="00870961">
        <w:trPr>
          <w:trHeight w:val="374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劣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z w:val="24"/>
                <w:lang w:val="zh-CN" w:eastAsia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重度污染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proofErr w:type="gramEnd"/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pacing w:val="-2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2.2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</w:rPr>
              <w:t>1.35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0.758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7E65E8" w:rsidTr="00870961">
        <w:trPr>
          <w:trHeight w:val="367"/>
        </w:trPr>
        <w:tc>
          <w:tcPr>
            <w:tcW w:w="79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6</w:t>
            </w:r>
          </w:p>
        </w:tc>
        <w:tc>
          <w:tcPr>
            <w:tcW w:w="1157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宋体" w:hAnsi="宋体" w:cs="宋体"/>
                <w:sz w:val="24"/>
                <w:lang w:val="zh-CN"/>
              </w:rPr>
              <w:fldChar w:fldCharType="begin"/>
            </w:r>
            <w:r>
              <w:rPr>
                <w:rFonts w:ascii="宋体" w:hAnsi="宋体" w:cs="宋体"/>
                <w:sz w:val="24"/>
                <w:lang w:val="zh-CN"/>
              </w:rPr>
              <w:instrText xml:space="preserve"> </w:instrText>
            </w:r>
            <w:r>
              <w:rPr>
                <w:rFonts w:ascii="宋体" w:hAnsi="宋体" w:cs="宋体" w:hint="eastAsia"/>
                <w:sz w:val="24"/>
                <w:lang w:val="zh-CN"/>
              </w:rPr>
              <w:instrText>= 4 \* ROMAN</w:instrText>
            </w:r>
            <w:r>
              <w:rPr>
                <w:rFonts w:ascii="宋体" w:hAnsi="宋体" w:cs="宋体"/>
                <w:sz w:val="24"/>
                <w:lang w:val="zh-CN"/>
              </w:rPr>
              <w:instrText xml:space="preserve"> </w:instrText>
            </w:r>
            <w:r>
              <w:rPr>
                <w:rFonts w:ascii="宋体" w:hAnsi="宋体" w:cs="宋体"/>
                <w:sz w:val="24"/>
                <w:lang w:val="zh-CN"/>
              </w:rPr>
              <w:fldChar w:fldCharType="separate"/>
            </w:r>
            <w:r>
              <w:rPr>
                <w:rFonts w:ascii="宋体" w:hAnsi="宋体" w:cs="宋体"/>
                <w:noProof/>
                <w:sz w:val="24"/>
                <w:lang w:val="zh-CN"/>
              </w:rPr>
              <w:t>IV</w:t>
            </w:r>
            <w:r>
              <w:rPr>
                <w:rFonts w:ascii="宋体" w:hAnsi="宋体" w:cs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轻度污染</w:t>
            </w:r>
          </w:p>
        </w:tc>
        <w:tc>
          <w:tcPr>
            <w:tcW w:w="2976" w:type="dxa"/>
            <w:vAlign w:val="center"/>
          </w:tcPr>
          <w:p w:rsidR="007E65E8" w:rsidRDefault="007E65E8" w:rsidP="00870961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氨氮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pacing w:val="-2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0.07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</w:tbl>
    <w:p w:rsidR="007E65E8" w:rsidRDefault="007E65E8" w:rsidP="007E65E8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类标准值为1.0mg/L；总磷</w:t>
      </w:r>
      <w:r>
        <w:rPr>
          <w:rFonts w:ascii="楷体_GB2312" w:eastAsia="楷体_GB2312" w:hint="eastAsia"/>
          <w:color w:val="000000"/>
          <w:sz w:val="24"/>
        </w:rPr>
        <w:lastRenderedPageBreak/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类标准值为0.2mg/L；石油类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类标准值为0.05mg/L；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化学需氧量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类标准值为4mg/L；高锰酸盐指数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类标准值为6mg/L；氟化物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7E65E8" w:rsidRDefault="007E65E8" w:rsidP="007E65E8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2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依据《河南省人民政府办公厅关于印发河南省2018年持续打好打赢水污染防治攻坚战工作方案的通知》豫政办[2018]15号，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月份全市五个地表水责任目标断面水质达标率为100%，环比持平。1-1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2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月份全市地表水责任目标断面水质达标率为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91.7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%，五个责任目标断面：沁</w:t>
      </w:r>
      <w:proofErr w:type="gramStart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小浪底水库南山水质达标率为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91.7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83.3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%，蟒河南官庄水质达标率为100%。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12月份地表水责任目标断面水质评价结果见表3。</w:t>
      </w:r>
    </w:p>
    <w:p w:rsidR="007E65E8" w:rsidRDefault="007E65E8" w:rsidP="007E65E8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3  12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272"/>
        <w:gridCol w:w="929"/>
      </w:tblGrid>
      <w:tr w:rsidR="007E65E8" w:rsidTr="00870961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2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12月超标因子及超标倍数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1-12月达标率</w:t>
            </w:r>
          </w:p>
        </w:tc>
      </w:tr>
      <w:tr w:rsidR="007E65E8" w:rsidTr="00870961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3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2" w:type="dxa"/>
            <w:vMerge/>
            <w:tcBorders>
              <w:left w:val="sing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</w:tcPr>
          <w:p w:rsidR="007E65E8" w:rsidRDefault="007E65E8" w:rsidP="00870961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7E65E8" w:rsidTr="00870961">
        <w:trPr>
          <w:trHeight w:val="411"/>
          <w:jc w:val="center"/>
        </w:trPr>
        <w:tc>
          <w:tcPr>
            <w:tcW w:w="1370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8.0</w:t>
            </w:r>
          </w:p>
        </w:tc>
        <w:tc>
          <w:tcPr>
            <w:tcW w:w="84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0.33</w:t>
            </w:r>
          </w:p>
        </w:tc>
        <w:tc>
          <w:tcPr>
            <w:tcW w:w="85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0.040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Ⅱ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91.7</w:t>
            </w:r>
          </w:p>
        </w:tc>
      </w:tr>
      <w:tr w:rsidR="007E65E8" w:rsidTr="00870961">
        <w:trPr>
          <w:trHeight w:val="453"/>
          <w:jc w:val="center"/>
        </w:trPr>
        <w:tc>
          <w:tcPr>
            <w:tcW w:w="1370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2.0</w:t>
            </w:r>
          </w:p>
        </w:tc>
        <w:tc>
          <w:tcPr>
            <w:tcW w:w="91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4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10.0</w:t>
            </w:r>
          </w:p>
        </w:tc>
        <w:tc>
          <w:tcPr>
            <w:tcW w:w="84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1.07</w:t>
            </w:r>
          </w:p>
        </w:tc>
        <w:tc>
          <w:tcPr>
            <w:tcW w:w="85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0.190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Ⅳ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100.0</w:t>
            </w:r>
          </w:p>
        </w:tc>
      </w:tr>
      <w:tr w:rsidR="007E65E8" w:rsidTr="00870961">
        <w:trPr>
          <w:trHeight w:val="653"/>
          <w:jc w:val="center"/>
        </w:trPr>
        <w:tc>
          <w:tcPr>
            <w:tcW w:w="1370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4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12.0</w:t>
            </w:r>
          </w:p>
        </w:tc>
        <w:tc>
          <w:tcPr>
            <w:tcW w:w="84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0.55</w:t>
            </w:r>
          </w:p>
        </w:tc>
        <w:tc>
          <w:tcPr>
            <w:tcW w:w="85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0.170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83.3</w:t>
            </w:r>
          </w:p>
        </w:tc>
      </w:tr>
      <w:tr w:rsidR="007E65E8" w:rsidTr="00870961">
        <w:trPr>
          <w:trHeight w:val="549"/>
          <w:jc w:val="center"/>
        </w:trPr>
        <w:tc>
          <w:tcPr>
            <w:tcW w:w="1370" w:type="dxa"/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1.0</w:t>
            </w:r>
          </w:p>
        </w:tc>
        <w:tc>
          <w:tcPr>
            <w:tcW w:w="913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4" w:type="dxa"/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7.0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0.12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0.090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Ⅱ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91.7</w:t>
            </w:r>
          </w:p>
        </w:tc>
      </w:tr>
      <w:tr w:rsidR="007E65E8" w:rsidTr="00870961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7E65E8" w:rsidRDefault="007E65E8" w:rsidP="00870961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6.0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0.18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0.040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7E65E8" w:rsidRPr="00076103" w:rsidRDefault="007E65E8" w:rsidP="00870961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</w:rPr>
            </w:pPr>
            <w:r w:rsidRPr="00076103">
              <w:rPr>
                <w:rFonts w:ascii="仿宋" w:eastAsia="仿宋" w:hAnsi="仿宋" w:cs="宋体" w:hint="eastAsia"/>
                <w:color w:val="000000"/>
                <w:kern w:val="0"/>
                <w:sz w:val="22"/>
              </w:rPr>
              <w:t>91.7</w:t>
            </w:r>
          </w:p>
        </w:tc>
      </w:tr>
    </w:tbl>
    <w:p w:rsidR="007E65E8" w:rsidRPr="000D1F0B" w:rsidRDefault="007E65E8" w:rsidP="007E65E8">
      <w:pPr>
        <w:spacing w:line="600" w:lineRule="exact"/>
        <w:ind w:firstLineChars="200" w:firstLine="640"/>
        <w:jc w:val="left"/>
        <w:rPr>
          <w:rFonts w:ascii="仿宋_GB2312" w:eastAsia="仿宋_GB2312"/>
          <w:b/>
          <w:color w:val="000000"/>
          <w:sz w:val="36"/>
          <w:szCs w:val="36"/>
        </w:rPr>
      </w:pPr>
      <w:r w:rsidRPr="008B6853"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3</w:t>
      </w:r>
      <w:r w:rsidRPr="008B6853"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城市清洁河流</w:t>
      </w:r>
      <w:r w:rsidRPr="008B6853">
        <w:rPr>
          <w:rFonts w:ascii="仿宋_GB2312" w:eastAsia="仿宋_GB2312" w:hint="eastAsia"/>
          <w:b/>
          <w:color w:val="000000"/>
          <w:sz w:val="32"/>
          <w:szCs w:val="32"/>
        </w:rPr>
        <w:t xml:space="preserve">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根据《河南省城市河流清洁行动计划的通知》（豫政[2014]53号）和《2015年全省碧水工程实施方案》（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豫环文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[2015]69号）的要求，2018年济源市城市清洁河流断面为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断面，第三季度18个省辖市60条城市河流水质状况排名为第二十三，水质类别为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noProof/>
          <w:color w:val="000000"/>
          <w:sz w:val="32"/>
          <w:szCs w:val="32"/>
        </w:rPr>
        <w:t>III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类。</w:t>
      </w:r>
    </w:p>
    <w:p w:rsidR="007E65E8" w:rsidRPr="00C9580B" w:rsidRDefault="007E65E8" w:rsidP="007E65E8">
      <w:pPr>
        <w:spacing w:line="600" w:lineRule="exact"/>
        <w:jc w:val="left"/>
        <w:rPr>
          <w:rFonts w:ascii="仿宋_GB2312" w:eastAsia="仿宋_GB2312" w:hint="eastAsia"/>
          <w:b/>
          <w:color w:val="000000"/>
          <w:sz w:val="36"/>
          <w:szCs w:val="36"/>
        </w:rPr>
      </w:pPr>
    </w:p>
    <w:p w:rsidR="007E65E8" w:rsidRDefault="007E65E8" w:rsidP="007E65E8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sz w:val="36"/>
          <w:szCs w:val="36"/>
        </w:rPr>
        <w:lastRenderedPageBreak/>
        <w:t>三、地下饮用水源地水质状况</w:t>
      </w:r>
    </w:p>
    <w:p w:rsidR="007E65E8" w:rsidRDefault="007E65E8" w:rsidP="007E65E8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12月份</w:t>
      </w:r>
      <w:bookmarkStart w:id="0" w:name="OLE_LINK5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7E65E8" w:rsidRPr="0000567A" w:rsidRDefault="007E65E8" w:rsidP="007E65E8">
      <w:pPr>
        <w:spacing w:line="600" w:lineRule="exact"/>
        <w:jc w:val="left"/>
        <w:rPr>
          <w:rFonts w:ascii="仿宋_GB2312" w:eastAsia="仿宋_GB2312" w:hint="eastAsia"/>
          <w:b/>
          <w:color w:val="000000"/>
          <w:sz w:val="36"/>
          <w:szCs w:val="36"/>
        </w:rPr>
      </w:pPr>
      <w:r w:rsidRPr="0000567A">
        <w:rPr>
          <w:rFonts w:ascii="仿宋_GB2312" w:eastAsia="仿宋_GB2312" w:hint="eastAsia"/>
          <w:b/>
          <w:color w:val="000000"/>
          <w:sz w:val="36"/>
          <w:szCs w:val="36"/>
        </w:rPr>
        <w:t>四、需关注的问题</w:t>
      </w:r>
    </w:p>
    <w:p w:rsidR="007E65E8" w:rsidRPr="00076103" w:rsidRDefault="007E65E8" w:rsidP="007E65E8">
      <w:pPr>
        <w:spacing w:afterLines="50" w:line="600" w:lineRule="exact"/>
        <w:ind w:firstLineChars="150" w:firstLine="482"/>
        <w:rPr>
          <w:rFonts w:eastAsia="仿宋"/>
          <w:b/>
          <w:bCs/>
          <w:color w:val="000000"/>
          <w:kern w:val="0"/>
          <w:sz w:val="32"/>
          <w:szCs w:val="32"/>
        </w:rPr>
      </w:pPr>
      <w:r w:rsidRPr="00076103">
        <w:rPr>
          <w:rFonts w:eastAsia="仿宋" w:hint="eastAsia"/>
          <w:b/>
          <w:bCs/>
          <w:color w:val="000000"/>
          <w:kern w:val="0"/>
          <w:sz w:val="32"/>
          <w:szCs w:val="32"/>
        </w:rPr>
        <w:t>空气质量年度目标完成情况</w:t>
      </w:r>
    </w:p>
    <w:p w:rsidR="007E65E8" w:rsidRPr="00076103" w:rsidRDefault="007E65E8" w:rsidP="007E65E8">
      <w:pPr>
        <w:overflowPunct w:val="0"/>
        <w:adjustRightInd w:val="0"/>
        <w:snapToGrid w:val="0"/>
        <w:spacing w:line="360" w:lineRule="auto"/>
        <w:ind w:firstLineChars="200" w:firstLine="640"/>
        <w:rPr>
          <w:rFonts w:eastAsia="仿宋"/>
          <w:bCs/>
          <w:color w:val="000000"/>
          <w:sz w:val="32"/>
          <w:szCs w:val="32"/>
        </w:rPr>
      </w:pPr>
      <w:r>
        <w:rPr>
          <w:rFonts w:ascii="宋体" w:eastAsia="仿宋_GB2312" w:hAnsi="宋体" w:hint="eastAsia"/>
          <w:sz w:val="32"/>
          <w:szCs w:val="32"/>
        </w:rPr>
        <w:t>2018</w:t>
      </w:r>
      <w:r>
        <w:rPr>
          <w:rFonts w:ascii="宋体" w:eastAsia="仿宋_GB2312" w:hAnsi="宋体" w:hint="eastAsia"/>
          <w:sz w:val="32"/>
          <w:szCs w:val="32"/>
        </w:rPr>
        <w:t>年，全市</w:t>
      </w:r>
      <w:r>
        <w:rPr>
          <w:rFonts w:ascii="宋体" w:eastAsia="仿宋_GB2312" w:hAnsi="宋体" w:hint="eastAsia"/>
          <w:sz w:val="32"/>
          <w:szCs w:val="32"/>
        </w:rPr>
        <w:t>PM</w:t>
      </w:r>
      <w:r>
        <w:rPr>
          <w:rFonts w:ascii="宋体" w:eastAsia="仿宋_GB2312" w:hAnsi="宋体" w:hint="eastAsia"/>
          <w:sz w:val="32"/>
          <w:szCs w:val="32"/>
          <w:vertAlign w:val="subscript"/>
        </w:rPr>
        <w:t>10</w:t>
      </w:r>
      <w:r>
        <w:rPr>
          <w:rFonts w:ascii="宋体" w:eastAsia="仿宋_GB2312" w:hAnsi="宋体" w:hint="eastAsia"/>
          <w:sz w:val="32"/>
          <w:szCs w:val="32"/>
        </w:rPr>
        <w:t>平均浓度</w:t>
      </w:r>
      <w:r>
        <w:rPr>
          <w:rFonts w:ascii="宋体" w:eastAsia="仿宋_GB2312" w:hAnsi="宋体" w:hint="eastAsia"/>
          <w:sz w:val="32"/>
          <w:szCs w:val="32"/>
        </w:rPr>
        <w:t>104</w:t>
      </w:r>
      <w:r>
        <w:rPr>
          <w:rFonts w:ascii="宋体" w:eastAsia="仿宋_GB2312" w:hAnsi="宋体" w:hint="eastAsia"/>
          <w:sz w:val="32"/>
          <w:szCs w:val="32"/>
        </w:rPr>
        <w:t>微克</w:t>
      </w:r>
      <w:r>
        <w:rPr>
          <w:rFonts w:ascii="宋体" w:eastAsia="仿宋_GB2312" w:hAnsi="宋体" w:hint="eastAsia"/>
          <w:sz w:val="32"/>
          <w:szCs w:val="32"/>
        </w:rPr>
        <w:t>/</w:t>
      </w:r>
      <w:r>
        <w:rPr>
          <w:rFonts w:ascii="宋体" w:eastAsia="仿宋_GB2312" w:hAnsi="宋体" w:hint="eastAsia"/>
          <w:sz w:val="32"/>
          <w:szCs w:val="32"/>
        </w:rPr>
        <w:t>立方米，圆满完成省定</w:t>
      </w:r>
      <w:r>
        <w:rPr>
          <w:rFonts w:ascii="宋体" w:eastAsia="仿宋_GB2312" w:hAnsi="宋体" w:hint="eastAsia"/>
          <w:sz w:val="32"/>
          <w:szCs w:val="32"/>
        </w:rPr>
        <w:t>104</w:t>
      </w:r>
      <w:r>
        <w:rPr>
          <w:rFonts w:ascii="宋体" w:eastAsia="仿宋_GB2312" w:hAnsi="宋体" w:hint="eastAsia"/>
          <w:sz w:val="32"/>
          <w:szCs w:val="32"/>
        </w:rPr>
        <w:t>微克</w:t>
      </w:r>
      <w:r>
        <w:rPr>
          <w:rFonts w:ascii="宋体" w:eastAsia="仿宋_GB2312" w:hAnsi="宋体" w:hint="eastAsia"/>
          <w:sz w:val="32"/>
          <w:szCs w:val="32"/>
        </w:rPr>
        <w:t>/</w:t>
      </w:r>
      <w:r>
        <w:rPr>
          <w:rFonts w:ascii="宋体" w:eastAsia="仿宋_GB2312" w:hAnsi="宋体" w:hint="eastAsia"/>
          <w:sz w:val="32"/>
          <w:szCs w:val="32"/>
        </w:rPr>
        <w:t>立方米的目标任务，较</w:t>
      </w:r>
      <w:r>
        <w:rPr>
          <w:rFonts w:ascii="宋体" w:eastAsia="仿宋_GB2312" w:hAnsi="宋体" w:hint="eastAsia"/>
          <w:sz w:val="32"/>
          <w:szCs w:val="32"/>
        </w:rPr>
        <w:t>2017</w:t>
      </w:r>
      <w:r>
        <w:rPr>
          <w:rFonts w:ascii="宋体" w:eastAsia="仿宋_GB2312" w:hAnsi="宋体" w:hint="eastAsia"/>
          <w:sz w:val="32"/>
          <w:szCs w:val="32"/>
        </w:rPr>
        <w:t>年同比下降</w:t>
      </w:r>
      <w:r>
        <w:rPr>
          <w:rFonts w:ascii="宋体" w:eastAsia="仿宋_GB2312" w:hAnsi="宋体" w:hint="eastAsia"/>
          <w:sz w:val="32"/>
          <w:szCs w:val="32"/>
        </w:rPr>
        <w:t>1.9%</w:t>
      </w:r>
      <w:r>
        <w:rPr>
          <w:rFonts w:ascii="宋体" w:eastAsia="仿宋_GB2312" w:hAnsi="宋体" w:hint="eastAsia"/>
          <w:sz w:val="32"/>
          <w:szCs w:val="32"/>
        </w:rPr>
        <w:t>；</w:t>
      </w:r>
      <w:r>
        <w:rPr>
          <w:rFonts w:ascii="宋体" w:eastAsia="仿宋_GB2312" w:hAnsi="宋体" w:hint="eastAsia"/>
          <w:sz w:val="32"/>
          <w:szCs w:val="32"/>
        </w:rPr>
        <w:t>PM</w:t>
      </w:r>
      <w:r>
        <w:rPr>
          <w:rFonts w:ascii="宋体" w:eastAsia="仿宋_GB2312" w:hAnsi="宋体" w:hint="eastAsia"/>
          <w:sz w:val="32"/>
          <w:szCs w:val="32"/>
          <w:vertAlign w:val="subscript"/>
        </w:rPr>
        <w:t>2.5</w:t>
      </w:r>
      <w:r>
        <w:rPr>
          <w:rFonts w:ascii="宋体" w:eastAsia="仿宋_GB2312" w:hAnsi="宋体" w:hint="eastAsia"/>
          <w:sz w:val="32"/>
          <w:szCs w:val="32"/>
        </w:rPr>
        <w:t>平均浓度</w:t>
      </w:r>
      <w:r>
        <w:rPr>
          <w:rFonts w:ascii="宋体" w:eastAsia="仿宋_GB2312" w:hAnsi="宋体" w:hint="eastAsia"/>
          <w:sz w:val="32"/>
          <w:szCs w:val="32"/>
        </w:rPr>
        <w:t>64</w:t>
      </w:r>
      <w:r>
        <w:rPr>
          <w:rFonts w:ascii="宋体" w:eastAsia="仿宋_GB2312" w:hAnsi="宋体" w:hint="eastAsia"/>
          <w:sz w:val="32"/>
          <w:szCs w:val="32"/>
        </w:rPr>
        <w:t>微克</w:t>
      </w:r>
      <w:r>
        <w:rPr>
          <w:rFonts w:ascii="宋体" w:eastAsia="仿宋_GB2312" w:hAnsi="宋体" w:hint="eastAsia"/>
          <w:sz w:val="32"/>
          <w:szCs w:val="32"/>
        </w:rPr>
        <w:t>/</w:t>
      </w:r>
      <w:r>
        <w:rPr>
          <w:rFonts w:ascii="宋体" w:eastAsia="仿宋_GB2312" w:hAnsi="宋体" w:hint="eastAsia"/>
          <w:sz w:val="32"/>
          <w:szCs w:val="32"/>
        </w:rPr>
        <w:t>立方米，高于省定目标</w:t>
      </w:r>
      <w:r>
        <w:rPr>
          <w:rFonts w:ascii="宋体" w:eastAsia="仿宋_GB2312" w:hAnsi="宋体" w:hint="eastAsia"/>
          <w:sz w:val="32"/>
          <w:szCs w:val="32"/>
        </w:rPr>
        <w:t>2</w:t>
      </w:r>
      <w:r>
        <w:rPr>
          <w:rFonts w:ascii="宋体" w:eastAsia="仿宋_GB2312" w:hAnsi="宋体" w:hint="eastAsia"/>
          <w:sz w:val="32"/>
          <w:szCs w:val="32"/>
        </w:rPr>
        <w:t>微克</w:t>
      </w:r>
      <w:r>
        <w:rPr>
          <w:rFonts w:ascii="宋体" w:eastAsia="仿宋_GB2312" w:hAnsi="宋体" w:hint="eastAsia"/>
          <w:sz w:val="32"/>
          <w:szCs w:val="32"/>
        </w:rPr>
        <w:t>/</w:t>
      </w:r>
      <w:r>
        <w:rPr>
          <w:rFonts w:ascii="宋体" w:eastAsia="仿宋_GB2312" w:hAnsi="宋体" w:hint="eastAsia"/>
          <w:sz w:val="32"/>
          <w:szCs w:val="32"/>
        </w:rPr>
        <w:t>立方米，</w:t>
      </w:r>
      <w:r w:rsidRPr="00076103">
        <w:rPr>
          <w:rFonts w:eastAsia="仿宋"/>
          <w:bCs/>
          <w:color w:val="000000"/>
          <w:sz w:val="32"/>
          <w:szCs w:val="32"/>
        </w:rPr>
        <w:t>未</w:t>
      </w:r>
      <w:r w:rsidRPr="00076103">
        <w:rPr>
          <w:rFonts w:eastAsia="仿宋" w:hint="eastAsia"/>
          <w:bCs/>
          <w:color w:val="000000"/>
          <w:sz w:val="32"/>
          <w:szCs w:val="32"/>
        </w:rPr>
        <w:t>完成</w:t>
      </w:r>
      <w:r w:rsidRPr="00076103">
        <w:rPr>
          <w:rFonts w:eastAsia="仿宋"/>
          <w:bCs/>
          <w:color w:val="000000"/>
          <w:sz w:val="32"/>
          <w:szCs w:val="32"/>
        </w:rPr>
        <w:t>年度目标</w:t>
      </w:r>
      <w:r w:rsidRPr="00076103">
        <w:rPr>
          <w:rFonts w:eastAsia="仿宋" w:hint="eastAsia"/>
          <w:bCs/>
          <w:color w:val="000000"/>
          <w:sz w:val="32"/>
          <w:szCs w:val="32"/>
        </w:rPr>
        <w:t>考核任务</w:t>
      </w:r>
      <w:r>
        <w:rPr>
          <w:rFonts w:ascii="宋体" w:eastAsia="仿宋_GB2312" w:hAnsi="宋体" w:hint="eastAsia"/>
          <w:sz w:val="32"/>
          <w:szCs w:val="32"/>
        </w:rPr>
        <w:t>，较</w:t>
      </w:r>
      <w:r>
        <w:rPr>
          <w:rFonts w:ascii="宋体" w:eastAsia="仿宋_GB2312" w:hAnsi="宋体" w:hint="eastAsia"/>
          <w:sz w:val="32"/>
          <w:szCs w:val="32"/>
        </w:rPr>
        <w:t>2017</w:t>
      </w:r>
      <w:r>
        <w:rPr>
          <w:rFonts w:ascii="宋体" w:eastAsia="仿宋_GB2312" w:hAnsi="宋体" w:hint="eastAsia"/>
          <w:sz w:val="32"/>
          <w:szCs w:val="32"/>
        </w:rPr>
        <w:t>年同比上升</w:t>
      </w:r>
      <w:r>
        <w:rPr>
          <w:rFonts w:ascii="宋体" w:eastAsia="仿宋_GB2312" w:hAnsi="宋体" w:hint="eastAsia"/>
          <w:sz w:val="32"/>
          <w:szCs w:val="32"/>
        </w:rPr>
        <w:t>3.2%</w:t>
      </w:r>
      <w:r>
        <w:rPr>
          <w:rFonts w:ascii="宋体" w:eastAsia="仿宋_GB2312" w:hAnsi="宋体" w:hint="eastAsia"/>
          <w:sz w:val="32"/>
          <w:szCs w:val="32"/>
        </w:rPr>
        <w:t>；</w:t>
      </w:r>
      <w:r w:rsidRPr="00ED1AF6">
        <w:rPr>
          <w:rFonts w:ascii="仿宋_GB2312" w:eastAsia="仿宋_GB2312" w:hAnsi="微软雅黑" w:cs="宋体" w:hint="eastAsia"/>
          <w:color w:val="333333"/>
          <w:spacing w:val="8"/>
          <w:kern w:val="0"/>
          <w:sz w:val="32"/>
          <w:szCs w:val="32"/>
        </w:rPr>
        <w:t>优良天数比例为55.8%</w:t>
      </w:r>
      <w:r w:rsidRPr="00ED1AF6">
        <w:rPr>
          <w:rFonts w:ascii="仿宋_GB2312" w:eastAsia="仿宋_GB2312" w:hAnsi="宋体" w:hint="eastAsia"/>
          <w:sz w:val="32"/>
          <w:szCs w:val="32"/>
        </w:rPr>
        <w:t>，低于省定目标1.7个百分点，</w:t>
      </w:r>
      <w:r w:rsidRPr="00ED1AF6">
        <w:rPr>
          <w:rFonts w:ascii="仿宋_GB2312" w:eastAsia="仿宋_GB2312" w:hint="eastAsia"/>
          <w:bCs/>
          <w:color w:val="000000"/>
          <w:sz w:val="32"/>
          <w:szCs w:val="32"/>
        </w:rPr>
        <w:t>未完成年度目标考核任务</w:t>
      </w:r>
      <w:r>
        <w:rPr>
          <w:rFonts w:ascii="宋体" w:eastAsia="仿宋_GB2312" w:hAnsi="宋体" w:hint="eastAsia"/>
          <w:sz w:val="32"/>
          <w:szCs w:val="32"/>
        </w:rPr>
        <w:t>。</w:t>
      </w:r>
    </w:p>
    <w:p w:rsidR="007E65E8" w:rsidRPr="00D953F5" w:rsidRDefault="007E65E8" w:rsidP="007E65E8">
      <w:pPr>
        <w:spacing w:line="600" w:lineRule="exact"/>
        <w:ind w:firstLineChars="196" w:firstLine="630"/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</w:pPr>
      <w:r w:rsidRPr="00D953F5"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  <w:t>水环境质量年度目标完成情况</w:t>
      </w:r>
    </w:p>
    <w:p w:rsidR="007E65E8" w:rsidRPr="00D3567D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  </w:t>
      </w:r>
      <w:r>
        <w:rPr>
          <w:rFonts w:ascii="宋体" w:eastAsia="仿宋_GB2312" w:hAnsi="宋体" w:hint="eastAsia"/>
          <w:sz w:val="32"/>
          <w:szCs w:val="32"/>
        </w:rPr>
        <w:t>城市集中式饮用水源地水质达标率</w:t>
      </w:r>
      <w:r>
        <w:rPr>
          <w:rFonts w:ascii="宋体" w:eastAsia="仿宋_GB2312" w:hAnsi="宋体" w:hint="eastAsia"/>
          <w:sz w:val="32"/>
          <w:szCs w:val="32"/>
        </w:rPr>
        <w:t>100%</w:t>
      </w:r>
      <w:r>
        <w:rPr>
          <w:rFonts w:ascii="宋体" w:eastAsia="仿宋_GB2312" w:hAnsi="宋体" w:hint="eastAsia"/>
          <w:sz w:val="32"/>
          <w:szCs w:val="32"/>
        </w:rPr>
        <w:t>。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沁</w:t>
      </w:r>
      <w:proofErr w:type="gramStart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小浪底水库南山水质达标率为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91.7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%，济河西宜作水质达标率为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83.3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%，蟒河南官庄水质达标率为100%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</w:t>
      </w:r>
      <w:r>
        <w:rPr>
          <w:rFonts w:ascii="宋体" w:eastAsia="仿宋_GB2312" w:hAnsi="宋体" w:hint="eastAsia"/>
          <w:sz w:val="32"/>
          <w:szCs w:val="32"/>
        </w:rPr>
        <w:t>5</w:t>
      </w:r>
      <w:r>
        <w:rPr>
          <w:rFonts w:ascii="宋体" w:eastAsia="仿宋_GB2312" w:hAnsi="宋体" w:hint="eastAsia"/>
          <w:sz w:val="32"/>
          <w:szCs w:val="32"/>
        </w:rPr>
        <w:t>个责任目标断面水质均达到省定考核指标要求。</w:t>
      </w: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Pr="00E865C2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7E65E8" w:rsidRDefault="007E65E8" w:rsidP="007E65E8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  <w:lang w:val="en-US" w:eastAsia="zh-CN"/>
        </w:rPr>
        <w:pict>
          <v:shape id="自选图形 27" o:spid="_x0000_s1122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7E65E8" w:rsidRDefault="007E65E8" w:rsidP="007E65E8">
      <w:pPr>
        <w:spacing w:line="600" w:lineRule="exact"/>
        <w:ind w:left="800" w:hangingChars="250" w:hanging="800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抄送：局领导、局办公室、大气环境管理科、水环境管理科、环境监测和辐射管理科、环境影响评价科、环境监察支队、环境科学研究和宣传教育中心</w:t>
      </w:r>
    </w:p>
    <w:p w:rsidR="007E65E8" w:rsidRDefault="007E65E8" w:rsidP="007E65E8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>
        <w:rPr>
          <w:rFonts w:ascii="仿宋_GB2312" w:eastAsia="仿宋_GB2312"/>
          <w:b/>
          <w:bCs/>
          <w:sz w:val="32"/>
          <w:szCs w:val="32"/>
          <w:lang w:val="en-US" w:eastAsia="zh-CN"/>
        </w:rPr>
        <w:pict>
          <v:line id="直线 26" o:spid="_x0000_s1121" style="position:absolute;left:0;text-align:left;z-index:251660288" from="0,14.05pt" to="453.1pt,14.4pt" strokeweight="1.5pt">
            <w10:wrap type="square"/>
          </v:line>
        </w:pict>
      </w:r>
      <w:r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>
        <w:rPr>
          <w:rFonts w:ascii="仿宋_GB2312" w:eastAsia="仿宋_GB2312" w:hAnsi="宋体" w:hint="eastAsia"/>
          <w:b/>
          <w:bCs/>
          <w:sz w:val="32"/>
          <w:szCs w:val="32"/>
        </w:rPr>
        <w:t>2019年01月22日印发</w:t>
      </w:r>
    </w:p>
    <w:p w:rsidR="000002C0" w:rsidRPr="007E65E8" w:rsidRDefault="000002C0" w:rsidP="007E65E8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7E65E8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654C" w:rsidRDefault="00E7654C">
      <w:r>
        <w:separator/>
      </w:r>
    </w:p>
  </w:endnote>
  <w:endnote w:type="continuationSeparator" w:id="0">
    <w:p w:rsidR="00E7654C" w:rsidRDefault="00E765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080F3C52" w:usb2="00000016" w:usb3="00000000" w:csb0="0004001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666D1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666D13">
    <w:pPr>
      <w:pStyle w:val="a4"/>
      <w:jc w:val="center"/>
    </w:pPr>
    <w:fldSimple w:instr=" PAGE   \* MERGEFORMAT ">
      <w:r w:rsidR="007E65E8" w:rsidRPr="007E65E8">
        <w:rPr>
          <w:noProof/>
          <w:lang w:val="zh-CN"/>
        </w:rPr>
        <w:t>5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654C" w:rsidRDefault="00E7654C">
      <w:r>
        <w:separator/>
      </w:r>
    </w:p>
  </w:footnote>
  <w:footnote w:type="continuationSeparator" w:id="0">
    <w:p w:rsidR="00E7654C" w:rsidRDefault="00E7654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87684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09B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3E33"/>
    <w:rsid w:val="00414A7D"/>
    <w:rsid w:val="004172F6"/>
    <w:rsid w:val="00422800"/>
    <w:rsid w:val="00423434"/>
    <w:rsid w:val="0042434F"/>
    <w:rsid w:val="004244D9"/>
    <w:rsid w:val="00424704"/>
    <w:rsid w:val="00424939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00F3"/>
    <w:rsid w:val="004E059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63B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079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6D13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14E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65E8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373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03F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3EF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19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761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654C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2FC5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8"/>
    <o:shapelayout v:ext="edit">
      <o:idmap v:ext="edit" data="1"/>
      <o:rules v:ext="edit">
        <o:r id="V:Rule3" type="connector" idref="#_x0000_s1044"/>
        <o:r id="V:Rule5" type="connector" idref="#自选图形 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018"/>
            </a:pPr>
            <a:r>
              <a:rPr lang="zh-CN" sz="1018"/>
              <a:t>图</a:t>
            </a:r>
            <a:r>
              <a:rPr lang="en-US" sz="1018"/>
              <a:t>2 </a:t>
            </a:r>
            <a:r>
              <a:rPr lang="zh-CN" sz="1018"/>
              <a:t> </a:t>
            </a:r>
            <a:r>
              <a:rPr lang="en-US" sz="1018"/>
              <a:t> </a:t>
            </a:r>
            <a:r>
              <a:rPr lang="zh-CN" sz="1018"/>
              <a:t>济源市城市环境空气</a:t>
            </a:r>
            <a:r>
              <a:rPr lang="en-US" sz="1018"/>
              <a:t>PM</a:t>
            </a:r>
            <a:r>
              <a:rPr lang="en-US" sz="1018" baseline="-25000"/>
              <a:t>10</a:t>
            </a:r>
            <a:r>
              <a:rPr lang="zh-CN" sz="1018"/>
              <a:t>月均浓度</a:t>
            </a:r>
            <a:r>
              <a:rPr lang="zh-CN" altLang="en-US" sz="1018"/>
              <a:t>走势图</a:t>
            </a:r>
            <a:r>
              <a:rPr lang="zh-CN" sz="1018"/>
              <a:t>   </a:t>
            </a:r>
          </a:p>
        </c:rich>
      </c:tx>
      <c:layout>
        <c:manualLayout>
          <c:xMode val="edge"/>
          <c:yMode val="edge"/>
          <c:x val="0.24553340505420171"/>
          <c:y val="0.85642333189896913"/>
        </c:manualLayout>
      </c:layout>
      <c:spPr>
        <a:noFill/>
        <a:ln w="23499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6437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4"/>
            <c:spPr>
              <a:solidFill>
                <a:schemeClr val="accent1"/>
              </a:solidFill>
              <a:ln w="8812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2.8834538441952169E-2"/>
                  <c:y val="4.4277171693224301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1"/>
              <c:layout>
                <c:manualLayout>
                  <c:x val="-3.2073210322003921E-2"/>
                  <c:y val="5.8140451528451313E-2"/>
                </c:manualLayout>
              </c:layout>
              <c:spPr>
                <a:noFill/>
                <a:ln w="23499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3499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6437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4"/>
            <c:spPr>
              <a:solidFill>
                <a:schemeClr val="accent2"/>
              </a:solidFill>
              <a:ln w="8812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74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3.3490952281749482E-2"/>
                  <c:y val="-5.5186264164103695E-2"/>
                </c:manualLayout>
              </c:layout>
              <c:spPr>
                <a:noFill/>
                <a:ln w="23499">
                  <a:noFill/>
                </a:ln>
              </c:spPr>
              <c:txPr>
                <a:bodyPr wrap="square" lIns="38100" tIns="19050" rIns="38100" bIns="19050" anchor="ctr">
                  <a:spAutoFit/>
                </a:bodyPr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1"/>
              <c:layout>
                <c:manualLayout>
                  <c:x val="-3.4434569706399375E-2"/>
                  <c:y val="-0.10277813065031922"/>
                </c:manualLayout>
              </c:layout>
              <c:spPr>
                <a:noFill/>
                <a:ln w="23499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3499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  <c:pt idx="7">
                  <c:v>67</c:v>
                </c:pt>
                <c:pt idx="8">
                  <c:v>68</c:v>
                </c:pt>
                <c:pt idx="9">
                  <c:v>108</c:v>
                </c:pt>
                <c:pt idx="10">
                  <c:v>109</c:v>
                </c:pt>
                <c:pt idx="11">
                  <c:v>131</c:v>
                </c:pt>
              </c:numCache>
            </c:numRef>
          </c:val>
        </c:ser>
        <c:marker val="1"/>
        <c:axId val="267186560"/>
        <c:axId val="267188096"/>
      </c:lineChart>
      <c:catAx>
        <c:axId val="267186560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93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7188096"/>
        <c:crossesAt val="0"/>
        <c:auto val="1"/>
        <c:lblAlgn val="ctr"/>
        <c:lblOffset val="100"/>
        <c:tickLblSkip val="1"/>
        <c:tickMarkSkip val="1"/>
      </c:catAx>
      <c:valAx>
        <c:axId val="267188096"/>
        <c:scaling>
          <c:orientation val="minMax"/>
          <c:max val="260"/>
          <c:min val="20"/>
        </c:scaling>
        <c:axPos val="l"/>
        <c:majorGridlines>
          <c:spPr>
            <a:ln w="8812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8358442454807E-4"/>
              <c:y val="0.1857700702604099"/>
            </c:manualLayout>
          </c:layout>
          <c:spPr>
            <a:noFill/>
            <a:ln w="23499">
              <a:noFill/>
            </a:ln>
          </c:spPr>
        </c:title>
        <c:numFmt formatCode="General" sourceLinked="0"/>
        <c:majorTickMark val="none"/>
        <c:tickLblPos val="nextTo"/>
        <c:spPr>
          <a:ln w="2937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7186560"/>
        <c:crosses val="autoZero"/>
        <c:crossBetween val="between"/>
        <c:majorUnit val="60"/>
        <c:minorUnit val="60"/>
      </c:valAx>
      <c:spPr>
        <a:noFill/>
        <a:ln w="23499">
          <a:noFill/>
        </a:ln>
      </c:spPr>
    </c:plotArea>
    <c:legend>
      <c:legendPos val="b"/>
      <c:layout>
        <c:manualLayout>
          <c:xMode val="edge"/>
          <c:yMode val="edge"/>
          <c:x val="0.57946494943158178"/>
          <c:y val="1.6029897704900261E-2"/>
          <c:w val="0.31583646600813886"/>
          <c:h val="8.5422659572171211E-2"/>
        </c:manualLayout>
      </c:layout>
      <c:spPr>
        <a:noFill/>
        <a:ln w="23499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740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987"/>
            </a:pPr>
            <a:r>
              <a:rPr lang="zh-CN" sz="987"/>
              <a:t>图</a:t>
            </a:r>
            <a:r>
              <a:rPr lang="en-US" sz="987"/>
              <a:t>1 </a:t>
            </a:r>
            <a:r>
              <a:rPr lang="zh-CN" sz="987"/>
              <a:t> </a:t>
            </a:r>
            <a:r>
              <a:rPr lang="en-US" sz="987"/>
              <a:t> </a:t>
            </a:r>
            <a:r>
              <a:rPr lang="zh-CN" sz="987"/>
              <a:t>济源市城市环境空气</a:t>
            </a:r>
            <a:r>
              <a:rPr lang="en-US" sz="987"/>
              <a:t>PM</a:t>
            </a:r>
            <a:r>
              <a:rPr lang="en-US" sz="987" baseline="-25000"/>
              <a:t>2.5</a:t>
            </a:r>
            <a:r>
              <a:rPr lang="zh-CN" sz="987"/>
              <a:t>月均浓度</a:t>
            </a:r>
            <a:r>
              <a:rPr lang="zh-CN" altLang="en-US" sz="987"/>
              <a:t>走势图</a:t>
            </a:r>
            <a:r>
              <a:rPr lang="zh-CN" sz="987"/>
              <a:t>   </a:t>
            </a:r>
          </a:p>
        </c:rich>
      </c:tx>
      <c:layout>
        <c:manualLayout>
          <c:xMode val="edge"/>
          <c:yMode val="edge"/>
          <c:x val="0.24553331775669063"/>
          <c:y val="0.85642389436666855"/>
        </c:manualLayout>
      </c:layout>
      <c:spPr>
        <a:noFill/>
        <a:ln w="22784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5633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4"/>
            <c:spPr>
              <a:solidFill>
                <a:schemeClr val="accent1"/>
              </a:solidFill>
              <a:ln w="8544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2.2378177160277301E-2"/>
                  <c:y val="6.6540176614798205E-2"/>
                </c:manualLayout>
              </c:layout>
              <c:spPr>
                <a:noFill/>
                <a:ln w="22784">
                  <a:noFill/>
                </a:ln>
              </c:spPr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2784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5633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4"/>
            <c:spPr>
              <a:solidFill>
                <a:schemeClr val="accent2"/>
              </a:solidFill>
              <a:ln w="8544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718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3987873832372705E-2"/>
                  <c:y val="-4.6591352847956936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2784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  <c:pt idx="7">
                  <c:v>40</c:v>
                </c:pt>
                <c:pt idx="8">
                  <c:v>34</c:v>
                </c:pt>
                <c:pt idx="9">
                  <c:v>58</c:v>
                </c:pt>
                <c:pt idx="10">
                  <c:v>86</c:v>
                </c:pt>
                <c:pt idx="11">
                  <c:v>85</c:v>
                </c:pt>
              </c:numCache>
            </c:numRef>
          </c:val>
        </c:ser>
        <c:marker val="1"/>
        <c:axId val="178184960"/>
        <c:axId val="178186496"/>
      </c:lineChart>
      <c:catAx>
        <c:axId val="178184960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848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78186496"/>
        <c:crossesAt val="0"/>
        <c:auto val="1"/>
        <c:lblAlgn val="ctr"/>
        <c:lblOffset val="100"/>
        <c:tickLblSkip val="1"/>
        <c:tickMarkSkip val="1"/>
      </c:catAx>
      <c:valAx>
        <c:axId val="178186496"/>
        <c:scaling>
          <c:orientation val="minMax"/>
          <c:max val="200"/>
          <c:min val="20"/>
        </c:scaling>
        <c:axPos val="l"/>
        <c:majorGridlines>
          <c:spPr>
            <a:ln w="8544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331296936244E-2"/>
              <c:y val="0.18577024618432686"/>
            </c:manualLayout>
          </c:layout>
          <c:spPr>
            <a:noFill/>
            <a:ln w="22784">
              <a:noFill/>
            </a:ln>
          </c:spPr>
        </c:title>
        <c:numFmt formatCode="General" sourceLinked="0"/>
        <c:majorTickMark val="none"/>
        <c:tickLblPos val="nextTo"/>
        <c:spPr>
          <a:ln w="2848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178184960"/>
        <c:crosses val="autoZero"/>
        <c:crossBetween val="between"/>
        <c:majorUnit val="60"/>
        <c:minorUnit val="60"/>
      </c:valAx>
      <c:spPr>
        <a:noFill/>
        <a:ln w="22784">
          <a:noFill/>
        </a:ln>
      </c:spPr>
    </c:plotArea>
    <c:legend>
      <c:legendPos val="b"/>
      <c:layout>
        <c:manualLayout>
          <c:xMode val="edge"/>
          <c:yMode val="edge"/>
          <c:x val="0.57946494416289906"/>
          <c:y val="1.6029927810185758E-2"/>
          <c:w val="0.31583622690681251"/>
          <c:h val="8.5422257159365217E-2"/>
        </c:manualLayout>
      </c:layout>
      <c:spPr>
        <a:noFill/>
        <a:ln w="22784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718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7ACC72-7795-4259-BF2F-803427129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471</Words>
  <Characters>2688</Characters>
  <Application>Microsoft Office Word</Application>
  <DocSecurity>0</DocSecurity>
  <Lines>22</Lines>
  <Paragraphs>6</Paragraphs>
  <ScaleCrop>false</ScaleCrop>
  <Company>jzsjcz</Company>
  <LinksUpToDate>false</LinksUpToDate>
  <CharactersWithSpaces>3153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3</cp:revision>
  <cp:lastPrinted>2017-04-11T01:56:00Z</cp:lastPrinted>
  <dcterms:created xsi:type="dcterms:W3CDTF">2019-01-23T07:06:00Z</dcterms:created>
  <dcterms:modified xsi:type="dcterms:W3CDTF">2019-01-23T07:07:00Z</dcterms:modified>
</cp:coreProperties>
</file>