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3FE4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21F2A14B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488BA61C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0D17C340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70A61654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64B0EC0B">
      <w:pPr>
        <w:wordWrap w:val="0"/>
        <w:spacing w:before="156" w:beforeLines="50" w:line="560" w:lineRule="exact"/>
        <w:jc w:val="right"/>
        <w:rPr>
          <w:rFonts w:ascii="仿宋_GB2312" w:hAnsi="仿宋_GB2312" w:cs="仿宋_GB2312"/>
          <w:color w:val="auto"/>
          <w:szCs w:val="32"/>
          <w:highlight w:val="none"/>
        </w:rPr>
      </w:pPr>
      <w:r>
        <w:rPr>
          <w:rFonts w:ascii="仿宋_GB2312" w:hAnsi="仿宋_GB2312" w:cs="仿宋_GB2312"/>
          <w:color w:val="auto"/>
          <w:szCs w:val="32"/>
          <w:highlight w:val="none"/>
        </w:rPr>
        <w:t>济环审〔202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6</w:t>
      </w:r>
      <w:r>
        <w:rPr>
          <w:rFonts w:ascii="仿宋_GB2312" w:hAnsi="仿宋_GB2312" w:cs="仿宋_GB2312"/>
          <w:color w:val="auto"/>
          <w:szCs w:val="32"/>
          <w:highlight w:val="none"/>
        </w:rPr>
        <w:t>〕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1</w:t>
      </w:r>
      <w:r>
        <w:rPr>
          <w:rFonts w:ascii="仿宋_GB2312" w:hAnsi="仿宋_GB2312" w:cs="仿宋_GB2312"/>
          <w:color w:val="auto"/>
          <w:szCs w:val="32"/>
          <w:highlight w:val="none"/>
        </w:rPr>
        <w:t>号</w:t>
      </w:r>
    </w:p>
    <w:p w14:paraId="2ACE5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 w14:paraId="5DCF5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济源市生态环境局</w:t>
      </w:r>
    </w:p>
    <w:p w14:paraId="3CB46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河南中原辊轴股份有限公司</w:t>
      </w:r>
    </w:p>
    <w:p w14:paraId="631B9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轴类件产品技术改造项目</w:t>
      </w:r>
    </w:p>
    <w:p w14:paraId="3C7F3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环境影响报告书的批复</w:t>
      </w:r>
    </w:p>
    <w:p w14:paraId="6EC5A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</w:p>
    <w:p w14:paraId="5026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河南中原辊轴股份有限公司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：</w:t>
      </w:r>
    </w:p>
    <w:p w14:paraId="21FB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你单位（统一社会信用代码：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9141900117747990X4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）报送的由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济源市烨林安全环保技术服务有限公司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韩丽芸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主持编制的《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河南中原辊轴股份有限公司轴类件产品技术改造项目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环境影响报告书》（以下简称《报告书》）及行政审批申请等资料收悉，项目环评审批事项已在我局网站公示期满。根据《中华人民共和国环境保护法》《中华人民共和国行政许可法》《中华人民共和国环境影响评价法》《建设项目环境保护管理条例》等法律法规，经研究，批复如下：</w:t>
      </w:r>
    </w:p>
    <w:p w14:paraId="2B41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一、项目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济源高新技术产业开发区河南中原辊轴股份有限公司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西厂区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GB" w:eastAsia="zh-CN"/>
        </w:rPr>
        <w:t>在现有轴类件产品生产线基础上增加电镀工序，主要生产工艺为：原材料—粗加工—镀镍—精加工—成品检验—包装。新增设备有数控车床、数控磨床、电镀槽、除污设施等。</w:t>
      </w:r>
    </w:p>
    <w:p w14:paraId="3B5C0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二、该《报告书》内容符合国家有关法律法规要求和建设项目环境管理规定，符合生态环境分区管控要求，符合所在园区规划环评要求，评价结论可信。我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批准该《报告书》，原则同意你公司按照《报告书》所列项目的建设内容和环境保护对策措施进行项目建设。</w:t>
      </w:r>
    </w:p>
    <w:p w14:paraId="1B2D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三、你单位应向社会公众主动公开已经批准的《报告书》，接受相关方的垂询。</w:t>
      </w:r>
    </w:p>
    <w:p w14:paraId="25D8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四、你单位应全面落实《报告书》提出的各项环境保护措施，各项环境保护设施与主体工程同时设计、同时施工、同时投入使用，确保各项污染物达标排放。</w:t>
      </w:r>
    </w:p>
    <w:p w14:paraId="3CE7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（一）向设计单位提供《报告书》和本批复文件，确保项目设计按照环境保护设计规范要求，落实防治环境污染和生态破坏的措施。</w:t>
      </w:r>
    </w:p>
    <w:p w14:paraId="103B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）项目运行时，外排污染物应满足如下要求：</w:t>
      </w:r>
    </w:p>
    <w:p w14:paraId="136E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1.废气。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项目应采取合理措施，加强废气的收集和处理，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电镀线作业区域进行二次密闭，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减少生产过程中的无组织废气排放。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废气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经处理后外排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满足《电镀污染物排放标准》（GB21900-2008）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限值要求。</w:t>
      </w:r>
    </w:p>
    <w:p w14:paraId="6B25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2.废水。按照“雨污分流、清污分流、污污分治、深度处理、分质回用”的要求处理，加强厂区管理，严防“跑冒滴漏”，杜绝交叉串排，生产废水不得混入雨水外排。含镍废水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综合废水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处理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满足《电镀污染物排放标准》（GB21900</w:t>
      </w:r>
      <w:r>
        <w:rPr>
          <w:rFonts w:hint="eastAsia" w:ascii="仿宋_GB2312" w:hAnsi="仿宋_GB2312" w:eastAsia="仿宋_GB2312" w:cs="仿宋_GB2312"/>
          <w:color w:val="auto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2008）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限值要求，全部回用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。</w:t>
      </w:r>
    </w:p>
    <w:p w14:paraId="3E39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3.噪声。严格落实噪声污染防治措施。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项目厂界噪声满足《工业企业厂界环境噪声排放标准》（GB12348-2008）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类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</w:p>
    <w:p w14:paraId="60A4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4.固废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按照“减量化、资源化、无害化”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原则，落实各类固体废物的收集、处置和综合利用措施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并做好日常管理台账记录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各类固体废物贮存、处置应满足《固体废物污染环境防治法》《危险废物贮存污染控制标准》（GB18597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-2023）要求，避免对环境造成二次污染。</w:t>
      </w:r>
    </w:p>
    <w:p w14:paraId="6643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严格落实《报告书》中的地下水、土壤污染防治措施。采取源头控制、分区防渗等措施，加强厂区周围土壤及地下水水质监控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避免对地下水和土壤产生污染。</w:t>
      </w:r>
    </w:p>
    <w:p w14:paraId="0B88B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）加强环境风险管理，落实《报告书》提出的环境风险防范措施，制定环境风险及事故应急预案，加强日常管理，严防环境污染事故发生。</w:t>
      </w:r>
    </w:p>
    <w:p w14:paraId="4795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落实《报告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》要求，按照重污染天气相关行业应急减排措施制定技术指南A级企业绩效分级指标，进行建设和管理。</w:t>
      </w:r>
    </w:p>
    <w:p w14:paraId="6B43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、按国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家有关规定设置规范的污染物排放口，并设立明显标志，按要求安装污染物排放自动监测设备，主要监测点位按要求安装视频监控。严格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落实《报告书》相关环境监测计划，定期对各类污染物进行监测，发布相关信息，发现问题及时采取整改措施。</w:t>
      </w:r>
    </w:p>
    <w:p w14:paraId="7057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严格执行环保“三同时”制度，按要求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变更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排污许可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，按规定程序实施竣工环境保护验收，经验收合格后方可正式投产。</w:t>
      </w:r>
    </w:p>
    <w:p w14:paraId="537C0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、本批复有效期为5年，如该项目逾期方开工建设，其环境影响报告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应报我局重新审核。如项目建设发生重大变动，应重新进行环境影响评价。</w:t>
      </w:r>
    </w:p>
    <w:p w14:paraId="11C45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、今后国家或我省颁布严于本批复污染物排放限值的新标准，届时你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应按新的排放标准执行。</w:t>
      </w:r>
    </w:p>
    <w:p w14:paraId="438B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47EB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CEE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 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jQ1MjJlZDQ4MGU1YzQyNGVmODhmNzVkYjRiMDQifQ=="/>
  </w:docVars>
  <w:rsids>
    <w:rsidRoot w:val="009D6731"/>
    <w:rsid w:val="00184B20"/>
    <w:rsid w:val="001E50E1"/>
    <w:rsid w:val="00341CC4"/>
    <w:rsid w:val="00444988"/>
    <w:rsid w:val="00476956"/>
    <w:rsid w:val="004E3540"/>
    <w:rsid w:val="005C4799"/>
    <w:rsid w:val="00621026"/>
    <w:rsid w:val="006E2B61"/>
    <w:rsid w:val="00790523"/>
    <w:rsid w:val="00940D30"/>
    <w:rsid w:val="009D6731"/>
    <w:rsid w:val="00C12CA0"/>
    <w:rsid w:val="00C4566F"/>
    <w:rsid w:val="00E6566C"/>
    <w:rsid w:val="00EA21B5"/>
    <w:rsid w:val="00F26B39"/>
    <w:rsid w:val="00F361EC"/>
    <w:rsid w:val="00FD2FFE"/>
    <w:rsid w:val="00FD5695"/>
    <w:rsid w:val="00FE1028"/>
    <w:rsid w:val="018D0DE1"/>
    <w:rsid w:val="01967DCC"/>
    <w:rsid w:val="01F55AE9"/>
    <w:rsid w:val="02460368"/>
    <w:rsid w:val="025263E9"/>
    <w:rsid w:val="02A76CD8"/>
    <w:rsid w:val="03CF1B62"/>
    <w:rsid w:val="06E17D3B"/>
    <w:rsid w:val="06FF3E09"/>
    <w:rsid w:val="074D53D1"/>
    <w:rsid w:val="07BA5BA7"/>
    <w:rsid w:val="085B516D"/>
    <w:rsid w:val="08C47915"/>
    <w:rsid w:val="09E40780"/>
    <w:rsid w:val="0A6273E5"/>
    <w:rsid w:val="0A874605"/>
    <w:rsid w:val="0ABE64DB"/>
    <w:rsid w:val="0B51665F"/>
    <w:rsid w:val="0F70383F"/>
    <w:rsid w:val="11F36B75"/>
    <w:rsid w:val="126B7053"/>
    <w:rsid w:val="12C549B5"/>
    <w:rsid w:val="135F0966"/>
    <w:rsid w:val="14333BA0"/>
    <w:rsid w:val="14BF71E2"/>
    <w:rsid w:val="14C60571"/>
    <w:rsid w:val="165D6CB3"/>
    <w:rsid w:val="16ED44DA"/>
    <w:rsid w:val="17D11706"/>
    <w:rsid w:val="187327BD"/>
    <w:rsid w:val="19355CC5"/>
    <w:rsid w:val="1AAA57BA"/>
    <w:rsid w:val="1EB61BF8"/>
    <w:rsid w:val="1FC702E1"/>
    <w:rsid w:val="1FF7F4F3"/>
    <w:rsid w:val="200A3A07"/>
    <w:rsid w:val="20D504B9"/>
    <w:rsid w:val="21110DC5"/>
    <w:rsid w:val="21313216"/>
    <w:rsid w:val="22072167"/>
    <w:rsid w:val="22B42350"/>
    <w:rsid w:val="23272B22"/>
    <w:rsid w:val="24194B61"/>
    <w:rsid w:val="241C01AD"/>
    <w:rsid w:val="24681644"/>
    <w:rsid w:val="24B7634F"/>
    <w:rsid w:val="24BC1BEF"/>
    <w:rsid w:val="2579116C"/>
    <w:rsid w:val="257F031C"/>
    <w:rsid w:val="267BA792"/>
    <w:rsid w:val="26887D7C"/>
    <w:rsid w:val="271B5FAA"/>
    <w:rsid w:val="276930F2"/>
    <w:rsid w:val="287B7B98"/>
    <w:rsid w:val="290A0F1C"/>
    <w:rsid w:val="294F2DD3"/>
    <w:rsid w:val="299A1C85"/>
    <w:rsid w:val="29DA269C"/>
    <w:rsid w:val="2A930A9D"/>
    <w:rsid w:val="2AA35184"/>
    <w:rsid w:val="2AD6555A"/>
    <w:rsid w:val="2AFA28CA"/>
    <w:rsid w:val="2B827534"/>
    <w:rsid w:val="2B944ACD"/>
    <w:rsid w:val="2C5A5D16"/>
    <w:rsid w:val="2D4737A6"/>
    <w:rsid w:val="2DFD851A"/>
    <w:rsid w:val="2FA5374C"/>
    <w:rsid w:val="30FA7AC8"/>
    <w:rsid w:val="321F60EE"/>
    <w:rsid w:val="32C20171"/>
    <w:rsid w:val="33C25DD5"/>
    <w:rsid w:val="35AD6EB7"/>
    <w:rsid w:val="36BB6CBA"/>
    <w:rsid w:val="36FE2A64"/>
    <w:rsid w:val="37B564F7"/>
    <w:rsid w:val="386A5533"/>
    <w:rsid w:val="38912AC0"/>
    <w:rsid w:val="38C872ED"/>
    <w:rsid w:val="395B0A88"/>
    <w:rsid w:val="3BF10EB2"/>
    <w:rsid w:val="3D5573AE"/>
    <w:rsid w:val="3D5B18EE"/>
    <w:rsid w:val="3D7309E6"/>
    <w:rsid w:val="3DBB5405"/>
    <w:rsid w:val="3F770BD0"/>
    <w:rsid w:val="3F8949F7"/>
    <w:rsid w:val="3FE13036"/>
    <w:rsid w:val="40DE6ABE"/>
    <w:rsid w:val="43140A2D"/>
    <w:rsid w:val="44641089"/>
    <w:rsid w:val="450C3149"/>
    <w:rsid w:val="46942D69"/>
    <w:rsid w:val="469E2A13"/>
    <w:rsid w:val="46F74436"/>
    <w:rsid w:val="47797541"/>
    <w:rsid w:val="47B044F4"/>
    <w:rsid w:val="47C65C99"/>
    <w:rsid w:val="48A076A6"/>
    <w:rsid w:val="48EE3617"/>
    <w:rsid w:val="4AF63E51"/>
    <w:rsid w:val="4B044C48"/>
    <w:rsid w:val="4C1E06B7"/>
    <w:rsid w:val="4C3E1A99"/>
    <w:rsid w:val="4CE12B80"/>
    <w:rsid w:val="4DC424F6"/>
    <w:rsid w:val="4E4D5283"/>
    <w:rsid w:val="4EDE6D6B"/>
    <w:rsid w:val="508C759D"/>
    <w:rsid w:val="5208399B"/>
    <w:rsid w:val="52727066"/>
    <w:rsid w:val="52D65847"/>
    <w:rsid w:val="533B7DA0"/>
    <w:rsid w:val="541F321E"/>
    <w:rsid w:val="547536D7"/>
    <w:rsid w:val="573BB317"/>
    <w:rsid w:val="580544D9"/>
    <w:rsid w:val="58136BF6"/>
    <w:rsid w:val="58BF1403"/>
    <w:rsid w:val="59036C6A"/>
    <w:rsid w:val="595B0854"/>
    <w:rsid w:val="5A6F3F47"/>
    <w:rsid w:val="5B180949"/>
    <w:rsid w:val="5BD448EE"/>
    <w:rsid w:val="5BD4863C"/>
    <w:rsid w:val="5CFA65D6"/>
    <w:rsid w:val="5D153410"/>
    <w:rsid w:val="5E404415"/>
    <w:rsid w:val="5E7A79CF"/>
    <w:rsid w:val="5F9000D9"/>
    <w:rsid w:val="5FDEEA0D"/>
    <w:rsid w:val="60254DE6"/>
    <w:rsid w:val="60771CEC"/>
    <w:rsid w:val="614E0C9F"/>
    <w:rsid w:val="616F54EB"/>
    <w:rsid w:val="620C23B5"/>
    <w:rsid w:val="621243C2"/>
    <w:rsid w:val="623E204E"/>
    <w:rsid w:val="62A96AD4"/>
    <w:rsid w:val="62C3404B"/>
    <w:rsid w:val="63EB0A27"/>
    <w:rsid w:val="66644C16"/>
    <w:rsid w:val="66774100"/>
    <w:rsid w:val="67F81964"/>
    <w:rsid w:val="68746DC1"/>
    <w:rsid w:val="692D6F40"/>
    <w:rsid w:val="698A44E3"/>
    <w:rsid w:val="69CB13AE"/>
    <w:rsid w:val="69D1357C"/>
    <w:rsid w:val="6A070584"/>
    <w:rsid w:val="6A8A1B19"/>
    <w:rsid w:val="6BB460C7"/>
    <w:rsid w:val="6BDE3BA4"/>
    <w:rsid w:val="6C81461E"/>
    <w:rsid w:val="6CDD8372"/>
    <w:rsid w:val="6D6F26C8"/>
    <w:rsid w:val="6DA93E2C"/>
    <w:rsid w:val="6DBB29D6"/>
    <w:rsid w:val="6DF21602"/>
    <w:rsid w:val="6F254179"/>
    <w:rsid w:val="6FB940CF"/>
    <w:rsid w:val="6FC14D32"/>
    <w:rsid w:val="6FF39570"/>
    <w:rsid w:val="704831D1"/>
    <w:rsid w:val="72E045F8"/>
    <w:rsid w:val="739A7D73"/>
    <w:rsid w:val="73F71988"/>
    <w:rsid w:val="73F9DA93"/>
    <w:rsid w:val="73FD0B55"/>
    <w:rsid w:val="74597C2E"/>
    <w:rsid w:val="75D19977"/>
    <w:rsid w:val="765D951E"/>
    <w:rsid w:val="775D48DF"/>
    <w:rsid w:val="77DC677D"/>
    <w:rsid w:val="78F82FF6"/>
    <w:rsid w:val="790E7239"/>
    <w:rsid w:val="7ACD0A2E"/>
    <w:rsid w:val="7ADF7B21"/>
    <w:rsid w:val="7B696311"/>
    <w:rsid w:val="7B7E28B5"/>
    <w:rsid w:val="7BA479E1"/>
    <w:rsid w:val="7BFD212C"/>
    <w:rsid w:val="7D567401"/>
    <w:rsid w:val="7D8B6583"/>
    <w:rsid w:val="7DAFDAF3"/>
    <w:rsid w:val="7DFAA3D8"/>
    <w:rsid w:val="7E857F9E"/>
    <w:rsid w:val="7EFAE30B"/>
    <w:rsid w:val="7EFF0165"/>
    <w:rsid w:val="7F0F5AB9"/>
    <w:rsid w:val="7F441A8B"/>
    <w:rsid w:val="7FCA0670"/>
    <w:rsid w:val="7FE72592"/>
    <w:rsid w:val="7FFF2116"/>
    <w:rsid w:val="8F7F85CA"/>
    <w:rsid w:val="94FF53AF"/>
    <w:rsid w:val="9FD15F42"/>
    <w:rsid w:val="9FF382F9"/>
    <w:rsid w:val="BD3FDACE"/>
    <w:rsid w:val="BF599650"/>
    <w:rsid w:val="BFFF1044"/>
    <w:rsid w:val="CD9F7328"/>
    <w:rsid w:val="CDFBC83F"/>
    <w:rsid w:val="CFC21A6A"/>
    <w:rsid w:val="D7FA0409"/>
    <w:rsid w:val="D87F9C54"/>
    <w:rsid w:val="DD6FBB4B"/>
    <w:rsid w:val="DF5F2A87"/>
    <w:rsid w:val="DFFD93F1"/>
    <w:rsid w:val="E19F6250"/>
    <w:rsid w:val="E33E863A"/>
    <w:rsid w:val="E3F7084E"/>
    <w:rsid w:val="E6DEE13B"/>
    <w:rsid w:val="E86FA7FC"/>
    <w:rsid w:val="EB7FD0C4"/>
    <w:rsid w:val="EECBC687"/>
    <w:rsid w:val="EFEFBD04"/>
    <w:rsid w:val="EFFD4A11"/>
    <w:rsid w:val="F5AA74A5"/>
    <w:rsid w:val="F8DF557C"/>
    <w:rsid w:val="FA709815"/>
    <w:rsid w:val="FCEFB75E"/>
    <w:rsid w:val="FEFB4298"/>
    <w:rsid w:val="FFBF32AE"/>
    <w:rsid w:val="FFDF695E"/>
    <w:rsid w:val="FFF9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4">
    <w:name w:val="Body Text"/>
    <w:basedOn w:val="1"/>
    <w:link w:val="14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页眉 Char"/>
    <w:basedOn w:val="10"/>
    <w:link w:val="7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4">
    <w:name w:val="正文文本 Char"/>
    <w:basedOn w:val="10"/>
    <w:link w:val="4"/>
    <w:qFormat/>
    <w:uiPriority w:val="0"/>
    <w:rPr>
      <w:rFonts w:ascii="宋体" w:hAnsi="宋体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1513</Words>
  <Characters>1584</Characters>
  <Lines>13</Lines>
  <Paragraphs>3</Paragraphs>
  <TotalTime>4</TotalTime>
  <ScaleCrop>false</ScaleCrop>
  <LinksUpToDate>false</LinksUpToDate>
  <CharactersWithSpaces>1617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2023-12-12T17:26:00Z</dcterms:created>
  <dc:creator>jia</dc:creator>
  <cp:lastModifiedBy>Administrator</cp:lastModifiedBy>
  <cp:lastPrinted>2026-04-22T09:26:10Z</cp:lastPrinted>
  <dcterms:modified xsi:type="dcterms:W3CDTF">2026-04-22T09:27:50Z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5C74353C58DA4B739876D2B8D0F6F022</vt:lpwstr>
  </property>
  <property fmtid="{D5CDD505-2E9C-101B-9397-08002B2CF9AE}" pid="4" name="KSOTemplateDocerSaveRecord">
    <vt:lpwstr>eyJoZGlkIjoiMmIyMjQ1MjJlZDQ4MGU1YzQyNGVmODhmNzVkYjRiMDQifQ==</vt:lpwstr>
  </property>
</Properties>
</file>