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5A72A">
      <w:pPr>
        <w:spacing w:line="560" w:lineRule="exact"/>
        <w:ind w:firstLine="640" w:firstLineChars="200"/>
        <w:rPr>
          <w:rFonts w:ascii="仿宋_GB2312" w:hAnsi="仿宋_GB2312" w:cs="仿宋_GB2312"/>
          <w:szCs w:val="32"/>
        </w:rPr>
      </w:pPr>
    </w:p>
    <w:p w14:paraId="7104D5D9">
      <w:pPr>
        <w:spacing w:line="560" w:lineRule="exact"/>
        <w:ind w:firstLine="640" w:firstLineChars="200"/>
        <w:rPr>
          <w:rFonts w:ascii="仿宋_GB2312" w:hAnsi="仿宋_GB2312" w:cs="仿宋_GB2312"/>
          <w:szCs w:val="32"/>
        </w:rPr>
      </w:pPr>
    </w:p>
    <w:p w14:paraId="495D386A">
      <w:pPr>
        <w:spacing w:line="560" w:lineRule="exact"/>
        <w:ind w:firstLine="640" w:firstLineChars="200"/>
        <w:rPr>
          <w:rFonts w:ascii="仿宋_GB2312" w:hAnsi="仿宋_GB2312" w:cs="仿宋_GB2312"/>
          <w:szCs w:val="32"/>
        </w:rPr>
      </w:pPr>
    </w:p>
    <w:p w14:paraId="3CAD5E72">
      <w:pPr>
        <w:spacing w:line="560" w:lineRule="exact"/>
        <w:ind w:firstLine="640" w:firstLineChars="200"/>
        <w:rPr>
          <w:rFonts w:ascii="仿宋_GB2312" w:hAnsi="仿宋_GB2312" w:cs="仿宋_GB2312"/>
          <w:szCs w:val="32"/>
        </w:rPr>
      </w:pPr>
    </w:p>
    <w:p w14:paraId="3B604F61">
      <w:pPr>
        <w:spacing w:line="560" w:lineRule="exact"/>
        <w:ind w:firstLine="640" w:firstLineChars="200"/>
        <w:rPr>
          <w:rFonts w:ascii="仿宋_GB2312" w:hAnsi="仿宋_GB2312" w:cs="仿宋_GB2312"/>
          <w:szCs w:val="32"/>
        </w:rPr>
      </w:pPr>
    </w:p>
    <w:p w14:paraId="3FD7178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cs="仿宋_GB2312"/>
          <w:szCs w:val="32"/>
        </w:rPr>
      </w:pPr>
      <w:r>
        <w:rPr>
          <w:rFonts w:ascii="仿宋_GB2312" w:hAnsi="仿宋_GB2312" w:cs="仿宋_GB2312"/>
          <w:szCs w:val="32"/>
        </w:rPr>
        <w:t>济环审〔202</w:t>
      </w:r>
      <w:r>
        <w:rPr>
          <w:rFonts w:hint="eastAsia" w:ascii="仿宋_GB2312" w:hAnsi="仿宋_GB2312" w:cs="仿宋_GB2312"/>
          <w:szCs w:val="32"/>
          <w:lang w:val="en-US" w:eastAsia="zh-CN"/>
        </w:rPr>
        <w:t>6</w:t>
      </w:r>
      <w:r>
        <w:rPr>
          <w:rFonts w:ascii="仿宋_GB2312" w:hAnsi="仿宋_GB2312" w:cs="仿宋_GB2312"/>
          <w:szCs w:val="32"/>
          <w:highlight w:val="none"/>
        </w:rPr>
        <w:t>〕</w:t>
      </w:r>
      <w:r>
        <w:rPr>
          <w:rFonts w:hint="eastAsia" w:ascii="仿宋_GB2312" w:hAnsi="仿宋_GB2312" w:cs="仿宋_GB2312"/>
          <w:szCs w:val="32"/>
          <w:highlight w:val="none"/>
          <w:lang w:val="en-US" w:eastAsia="zh-CN"/>
        </w:rPr>
        <w:t>2</w:t>
      </w:r>
      <w:r>
        <w:rPr>
          <w:rFonts w:ascii="仿宋_GB2312" w:hAnsi="仿宋_GB2312" w:cs="仿宋_GB2312"/>
          <w:szCs w:val="32"/>
          <w:highlight w:val="none"/>
        </w:rPr>
        <w:t>号</w:t>
      </w:r>
      <w:bookmarkStart w:id="0" w:name="_GoBack"/>
      <w:bookmarkEnd w:id="0"/>
    </w:p>
    <w:p w14:paraId="456A5B5E">
      <w:pPr>
        <w:widowControl/>
        <w:spacing w:line="660" w:lineRule="exact"/>
        <w:jc w:val="center"/>
        <w:rPr>
          <w:rFonts w:ascii="方正小标宋简体" w:hAnsi="方正小标宋简体" w:eastAsia="方正小标宋简体" w:cs="方正小标宋简体"/>
          <w:kern w:val="0"/>
          <w:sz w:val="44"/>
          <w:szCs w:val="44"/>
        </w:rPr>
      </w:pPr>
    </w:p>
    <w:p w14:paraId="0BF7021B">
      <w:pPr>
        <w:widowControl/>
        <w:spacing w:line="6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济源市生态环境局</w:t>
      </w:r>
    </w:p>
    <w:p w14:paraId="457564A9">
      <w:pPr>
        <w:widowControl/>
        <w:spacing w:line="6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关于河南豫光锌业有限公司</w:t>
      </w:r>
    </w:p>
    <w:p w14:paraId="31A688D3">
      <w:pPr>
        <w:widowControl/>
        <w:spacing w:line="6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有色冶炼制酸酸泥资源化利用绿色智造项目环境影响报告书的批复</w:t>
      </w:r>
    </w:p>
    <w:p w14:paraId="0821729F">
      <w:pPr>
        <w:snapToGrid w:val="0"/>
        <w:spacing w:line="560" w:lineRule="exact"/>
        <w:rPr>
          <w:rFonts w:ascii="仿宋_GB2312" w:hAnsi="仿宋_GB2312" w:cs="仿宋_GB2312"/>
          <w:szCs w:val="32"/>
        </w:rPr>
      </w:pPr>
    </w:p>
    <w:p w14:paraId="07A05F0E">
      <w:pPr>
        <w:adjustRightInd w:val="0"/>
        <w:snapToGrid w:val="0"/>
        <w:spacing w:line="560" w:lineRule="exact"/>
        <w:rPr>
          <w:rFonts w:ascii="仿宋_GB2312" w:hAnsi="仿宋_GB2312" w:cs="仿宋_GB2312"/>
          <w:szCs w:val="32"/>
        </w:rPr>
      </w:pPr>
      <w:r>
        <w:rPr>
          <w:rFonts w:hint="eastAsia" w:ascii="仿宋_GB2312" w:hAnsi="仿宋_GB2312" w:cs="仿宋_GB2312"/>
          <w:szCs w:val="32"/>
        </w:rPr>
        <w:t>河南豫光锌业有限公司：</w:t>
      </w:r>
    </w:p>
    <w:p w14:paraId="08A32411">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你单位（统一社会信用代码：91419001758377389H）报送的由中色科技股份有限公司</w:t>
      </w:r>
      <w:r>
        <w:rPr>
          <w:rFonts w:hint="eastAsia" w:ascii="仿宋_GB2312" w:hAnsi="仿宋_GB2312" w:cs="仿宋_GB2312"/>
          <w:szCs w:val="32"/>
          <w:lang w:val="en-US" w:eastAsia="zh-CN"/>
        </w:rPr>
        <w:t>石端晓</w:t>
      </w:r>
      <w:r>
        <w:rPr>
          <w:rFonts w:hint="eastAsia" w:ascii="仿宋_GB2312" w:hAnsi="仿宋_GB2312" w:cs="仿宋_GB2312"/>
          <w:szCs w:val="32"/>
        </w:rPr>
        <w:t>主持编制的《河南豫光锌业有限公司有色冶炼制酸酸泥资源化利用绿色智造项目环境影响报告书》（以下简称《报告书》）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p>
    <w:p w14:paraId="6E916C79">
      <w:pPr>
        <w:numPr>
          <w:ilvl w:val="0"/>
          <w:numId w:val="1"/>
        </w:numPr>
        <w:adjustRightInd w:val="0"/>
        <w:snapToGrid w:val="0"/>
        <w:spacing w:line="560" w:lineRule="exact"/>
        <w:ind w:firstLine="640" w:firstLineChars="200"/>
        <w:rPr>
          <w:rFonts w:hint="eastAsia"/>
        </w:rPr>
      </w:pPr>
      <w:r>
        <w:rPr>
          <w:rFonts w:hint="eastAsia" w:ascii="仿宋_GB2312" w:hAnsi="仿宋_GB2312" w:cs="仿宋_GB2312"/>
          <w:szCs w:val="32"/>
        </w:rPr>
        <w:t>项目位</w:t>
      </w:r>
      <w:r>
        <w:rPr>
          <w:rFonts w:hint="eastAsia" w:ascii="仿宋_GB2312" w:hAnsi="仿宋_GB2312" w:cs="仿宋_GB2312"/>
          <w:szCs w:val="32"/>
          <w:highlight w:val="none"/>
        </w:rPr>
        <w:t>于济源经济技术开发区</w:t>
      </w:r>
      <w:r>
        <w:rPr>
          <w:rFonts w:hint="default" w:ascii="Times New Roman" w:hAnsi="Times New Roman" w:eastAsia="仿宋_GB2312" w:cs="Times New Roman"/>
          <w:sz w:val="32"/>
          <w:szCs w:val="32"/>
        </w:rPr>
        <w:t>河南豫光锌业有限公司</w:t>
      </w:r>
      <w:r>
        <w:rPr>
          <w:rFonts w:hint="eastAsia" w:ascii="Times New Roman" w:hAnsi="Times New Roman" w:cs="Times New Roman"/>
          <w:sz w:val="32"/>
          <w:szCs w:val="32"/>
          <w:lang w:val="en-US" w:eastAsia="zh-CN"/>
        </w:rPr>
        <w:t>厂区预留空地，</w:t>
      </w:r>
      <w:r>
        <w:rPr>
          <w:rFonts w:hint="eastAsia" w:ascii="Times New Roman" w:hAnsi="Times New Roman" w:eastAsia="仿宋_GB2312"/>
          <w:sz w:val="32"/>
          <w:szCs w:val="32"/>
          <w:lang w:val="en-US" w:eastAsia="zh-CN"/>
        </w:rPr>
        <w:t>淘汰</w:t>
      </w:r>
      <w:r>
        <w:rPr>
          <w:rFonts w:hint="eastAsia" w:ascii="Times New Roman" w:hAnsi="Times New Roman"/>
          <w:sz w:val="32"/>
          <w:szCs w:val="32"/>
          <w:lang w:val="en-US" w:eastAsia="zh-CN"/>
        </w:rPr>
        <w:t>原有</w:t>
      </w:r>
      <w:r>
        <w:rPr>
          <w:rFonts w:hint="eastAsia" w:eastAsia="仿宋_GB2312"/>
          <w:sz w:val="32"/>
          <w:szCs w:val="32"/>
          <w:lang w:val="en-US" w:eastAsia="zh-CN"/>
        </w:rPr>
        <w:t>酸泥处理线</w:t>
      </w:r>
      <w:r>
        <w:rPr>
          <w:rFonts w:hint="eastAsia" w:ascii="Times New Roman" w:hAnsi="Times New Roman" w:eastAsia="仿宋_GB2312"/>
          <w:sz w:val="32"/>
          <w:szCs w:val="32"/>
          <w:lang w:val="en-US" w:eastAsia="zh-CN"/>
        </w:rPr>
        <w:t>相关设施及设备</w:t>
      </w:r>
      <w:r>
        <w:rPr>
          <w:rFonts w:hint="eastAsia" w:ascii="Times New Roman" w:hAnsi="Times New Roman"/>
          <w:sz w:val="32"/>
          <w:szCs w:val="32"/>
          <w:lang w:val="en-US" w:eastAsia="zh-CN"/>
        </w:rPr>
        <w:t>，</w:t>
      </w:r>
      <w:r>
        <w:rPr>
          <w:rFonts w:hint="eastAsia" w:cs="Times New Roman"/>
          <w:sz w:val="32"/>
          <w:szCs w:val="32"/>
          <w:lang w:val="en-US" w:eastAsia="zh-CN"/>
        </w:rPr>
        <w:t>新建汞回收车间、硒回收车间等。建成后</w:t>
      </w:r>
      <w:r>
        <w:rPr>
          <w:rFonts w:hint="eastAsia" w:eastAsia="仿宋_GB2312" w:cs="Times New Roman"/>
          <w:sz w:val="32"/>
          <w:szCs w:val="32"/>
          <w:lang w:val="en-US" w:eastAsia="zh-CN"/>
        </w:rPr>
        <w:t>酸泥</w:t>
      </w:r>
      <w:r>
        <w:rPr>
          <w:rFonts w:hint="eastAsia" w:cs="Times New Roman"/>
          <w:sz w:val="32"/>
          <w:szCs w:val="32"/>
          <w:lang w:val="en-US" w:eastAsia="zh-CN"/>
        </w:rPr>
        <w:t>处理规</w:t>
      </w:r>
      <w:r>
        <w:rPr>
          <w:rFonts w:hint="eastAsia" w:ascii="仿宋_GB2312" w:hAnsi="仿宋_GB2312" w:eastAsia="仿宋_GB2312" w:cs="仿宋_GB2312"/>
          <w:sz w:val="32"/>
          <w:szCs w:val="32"/>
          <w:lang w:val="en-US" w:eastAsia="zh-CN"/>
        </w:rPr>
        <w:t>模</w:t>
      </w:r>
      <w:r>
        <w:rPr>
          <w:rFonts w:hint="eastAsia" w:ascii="仿宋_GB2312" w:hAnsi="仿宋_GB2312" w:cs="仿宋_GB2312"/>
          <w:sz w:val="32"/>
          <w:szCs w:val="32"/>
          <w:lang w:val="en-US" w:eastAsia="zh-CN"/>
        </w:rPr>
        <w:t>不变</w:t>
      </w:r>
      <w:r>
        <w:rPr>
          <w:rFonts w:hint="eastAsia" w:ascii="仿宋_GB2312" w:hAnsi="仿宋_GB2312" w:eastAsia="仿宋_GB2312" w:cs="仿宋_GB2312"/>
          <w:sz w:val="32"/>
          <w:szCs w:val="32"/>
          <w:lang w:val="en-US" w:eastAsia="zh-CN"/>
        </w:rPr>
        <w:t>，主要产品</w:t>
      </w:r>
      <w:r>
        <w:rPr>
          <w:rFonts w:hint="eastAsia" w:cs="Times New Roman"/>
          <w:sz w:val="32"/>
          <w:szCs w:val="32"/>
          <w:lang w:val="en-US" w:eastAsia="zh-CN"/>
        </w:rPr>
        <w:t>为</w:t>
      </w:r>
      <w:r>
        <w:rPr>
          <w:rFonts w:hint="eastAsia" w:eastAsia="仿宋_GB2312" w:cs="Times New Roman"/>
          <w:sz w:val="32"/>
          <w:szCs w:val="32"/>
          <w:lang w:val="en-US" w:eastAsia="zh-CN"/>
        </w:rPr>
        <w:t>粗汞、精硒。</w:t>
      </w:r>
    </w:p>
    <w:p w14:paraId="1301A422">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二、</w:t>
      </w:r>
      <w:r>
        <w:rPr>
          <w:rFonts w:hint="eastAsia" w:ascii="仿宋_GB2312" w:hAnsi="仿宋_GB2312" w:eastAsia="仿宋_GB2312" w:cs="仿宋_GB2312"/>
          <w:szCs w:val="32"/>
        </w:rPr>
        <w:t>该《报告书》内容符合国家有关法律法规要求和建设项目环境管理规定，符合生态环境分区管控要求，符合所在园区规划环评要求，评价结论可信。我局批准该《报告书》，原则同意你公司按照《报告书》所列项目的建设内容和环境保护对策措施进行项目建设。</w:t>
      </w:r>
    </w:p>
    <w:p w14:paraId="365C2DA2">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三、你单位应向社会公众主动公开已经批准的《报告书》，接受相关方的垂询。</w:t>
      </w:r>
    </w:p>
    <w:p w14:paraId="6067D3AB">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四、你单位应全面落实《报告书》提出的各项环境保护措施，各项环境保护设施与主体工程同时设计、同时施工、同时投入使用，确保各项污染物达标排放。</w:t>
      </w:r>
    </w:p>
    <w:p w14:paraId="5B503967">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（一）向设计单位提供《报告书》和本批复文件，确保项目设计按照环境保护设计规范要求，落实防治环境污染和生态破坏的措施。</w:t>
      </w:r>
    </w:p>
    <w:p w14:paraId="1B4DD32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（二）依据《报告书》和本批复文件，对项目建设过程中产生的废水、废气、固体废物、噪声等污染，以及因施工而对生态环境造成的破坏，采取相应的防治措施和生态环境影响减缓措施。</w:t>
      </w:r>
    </w:p>
    <w:p w14:paraId="1789EB30">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（三）项目运行时，外排污染物应满足如下要求：</w:t>
      </w:r>
    </w:p>
    <w:p w14:paraId="2B5DE548">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cs="仿宋_GB2312"/>
          <w:szCs w:val="32"/>
        </w:rPr>
        <w:t>1.废气：项目应采取合理措施，加强废气的收集和处理，减少生产过程中的无组织</w:t>
      </w:r>
      <w:r>
        <w:rPr>
          <w:rFonts w:hint="eastAsia" w:ascii="仿宋_GB2312" w:hAnsi="仿宋_GB2312" w:eastAsia="仿宋_GB2312" w:cs="仿宋_GB2312"/>
          <w:szCs w:val="32"/>
        </w:rPr>
        <w:t>废气排放。各项废气经处理后</w:t>
      </w:r>
      <w:r>
        <w:rPr>
          <w:rFonts w:hint="eastAsia" w:ascii="仿宋_GB2312" w:hAnsi="仿宋_GB2312" w:eastAsia="仿宋_GB2312" w:cs="仿宋_GB2312"/>
          <w:szCs w:val="32"/>
          <w:lang w:eastAsia="zh-CN"/>
        </w:rPr>
        <w:t>须</w:t>
      </w:r>
      <w:r>
        <w:rPr>
          <w:rFonts w:hint="eastAsia" w:ascii="仿宋_GB2312" w:hAnsi="仿宋_GB2312" w:eastAsia="仿宋_GB2312" w:cs="仿宋_GB2312"/>
          <w:szCs w:val="32"/>
        </w:rPr>
        <w:t>满足</w:t>
      </w:r>
      <w:r>
        <w:rPr>
          <w:rFonts w:hint="eastAsia" w:ascii="仿宋_GB2312" w:hAnsi="仿宋_GB2312" w:eastAsia="仿宋_GB2312" w:cs="仿宋_GB2312"/>
          <w:sz w:val="32"/>
          <w:szCs w:val="32"/>
        </w:rPr>
        <w:t>《工业炉窑大气污染物排放标准》（DB41/1066-2020）、《大气污染物综合排放标准》（GB16297-1996）</w:t>
      </w:r>
      <w:r>
        <w:rPr>
          <w:rFonts w:hint="eastAsia" w:ascii="仿宋_GB2312" w:hAnsi="仿宋_GB2312" w:cs="仿宋_GB2312"/>
          <w:sz w:val="32"/>
          <w:szCs w:val="32"/>
          <w:lang w:eastAsia="zh-CN"/>
        </w:rPr>
        <w:t>，参照执行</w:t>
      </w:r>
      <w:r>
        <w:rPr>
          <w:rFonts w:hint="eastAsia" w:ascii="仿宋_GB2312" w:hAnsi="仿宋_GB2312" w:eastAsia="仿宋_GB2312" w:cs="仿宋_GB2312"/>
          <w:sz w:val="32"/>
          <w:szCs w:val="32"/>
        </w:rPr>
        <w:t>《铅、锌工业大气污染物排放标准》（DB41/2806-2015）。</w:t>
      </w:r>
    </w:p>
    <w:p w14:paraId="16E38B5B">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2.废水：按照</w:t>
      </w:r>
      <w:r>
        <w:rPr>
          <w:rFonts w:hint="eastAsia" w:ascii="仿宋_GB2312" w:hAnsi="仿宋_GB2312" w:eastAsia="仿宋_GB2312" w:cs="仿宋_GB2312"/>
          <w:szCs w:val="32"/>
        </w:rPr>
        <w:t>“雨污分流、清污分流、</w:t>
      </w:r>
      <w:r>
        <w:rPr>
          <w:rFonts w:hint="eastAsia" w:ascii="仿宋_GB2312" w:hAnsi="仿宋_GB2312" w:eastAsia="仿宋_GB2312" w:cs="仿宋_GB2312"/>
          <w:szCs w:val="32"/>
          <w:lang w:val="en-US" w:eastAsia="zh-CN"/>
        </w:rPr>
        <w:t>分质分类处理</w:t>
      </w:r>
      <w:r>
        <w:rPr>
          <w:rFonts w:hint="eastAsia" w:ascii="仿宋_GB2312" w:hAnsi="仿宋_GB2312" w:eastAsia="仿宋_GB2312" w:cs="仿宋_GB2312"/>
          <w:szCs w:val="32"/>
        </w:rPr>
        <w:t>”</w:t>
      </w:r>
      <w:r>
        <w:rPr>
          <w:rFonts w:hint="eastAsia" w:ascii="仿宋_GB2312" w:hAnsi="仿宋_GB2312" w:cs="仿宋_GB2312"/>
          <w:szCs w:val="32"/>
        </w:rPr>
        <w:t>的原则</w:t>
      </w:r>
      <w:r>
        <w:rPr>
          <w:rFonts w:hint="eastAsia" w:ascii="仿宋_GB2312" w:hAnsi="仿宋_GB2312" w:cs="仿宋_GB2312"/>
          <w:szCs w:val="32"/>
          <w:lang w:val="en-US" w:eastAsia="zh-CN"/>
        </w:rPr>
        <w:t>处理废水</w:t>
      </w:r>
      <w:r>
        <w:rPr>
          <w:rFonts w:hint="eastAsia" w:ascii="仿宋_GB2312" w:hAnsi="仿宋_GB2312" w:cs="仿宋_GB2312"/>
          <w:szCs w:val="32"/>
        </w:rPr>
        <w:t>。项目不新增生活污水，</w:t>
      </w:r>
      <w:r>
        <w:rPr>
          <w:rFonts w:hint="eastAsia" w:ascii="仿宋_GB2312" w:hAnsi="仿宋_GB2312" w:cs="仿宋_GB2312"/>
          <w:szCs w:val="32"/>
          <w:lang w:val="en-US" w:eastAsia="zh-CN"/>
        </w:rPr>
        <w:t>项目区</w:t>
      </w:r>
      <w:r>
        <w:rPr>
          <w:rFonts w:hint="eastAsia" w:ascii="仿宋_GB2312" w:hAnsi="仿宋_GB2312" w:cs="仿宋_GB2312"/>
          <w:szCs w:val="32"/>
        </w:rPr>
        <w:t>初期雨水与回收硒后的涉重生产废水</w:t>
      </w:r>
      <w:r>
        <w:rPr>
          <w:rFonts w:hint="eastAsia" w:ascii="仿宋_GB2312" w:hAnsi="仿宋_GB2312" w:cs="仿宋_GB2312"/>
          <w:szCs w:val="32"/>
          <w:lang w:val="en-US" w:eastAsia="zh-CN"/>
        </w:rPr>
        <w:t>依托</w:t>
      </w:r>
      <w:r>
        <w:rPr>
          <w:rFonts w:hint="eastAsia" w:ascii="仿宋_GB2312" w:hAnsi="仿宋_GB2312" w:cs="仿宋_GB2312"/>
          <w:szCs w:val="32"/>
        </w:rPr>
        <w:t>现有污酸处理站处理后全部回用，不外排；循环水系统排水</w:t>
      </w:r>
      <w:r>
        <w:rPr>
          <w:rFonts w:hint="eastAsia" w:ascii="仿宋_GB2312" w:hAnsi="仿宋_GB2312" w:cs="仿宋_GB2312"/>
          <w:szCs w:val="32"/>
          <w:lang w:val="en-US" w:eastAsia="zh-CN"/>
        </w:rPr>
        <w:t>依托</w:t>
      </w:r>
      <w:r>
        <w:rPr>
          <w:rFonts w:hint="eastAsia" w:ascii="仿宋_GB2312" w:hAnsi="仿宋_GB2312" w:cs="仿宋_GB2312"/>
          <w:szCs w:val="32"/>
        </w:rPr>
        <w:t>现有综合废水处理站处理</w:t>
      </w:r>
      <w:r>
        <w:rPr>
          <w:rFonts w:hint="eastAsia" w:ascii="仿宋_GB2312" w:hAnsi="仿宋_GB2312" w:cs="仿宋_GB2312"/>
          <w:szCs w:val="32"/>
          <w:lang w:val="en-US" w:eastAsia="zh-CN"/>
        </w:rPr>
        <w:t>后</w:t>
      </w:r>
      <w:r>
        <w:rPr>
          <w:rFonts w:hint="eastAsia" w:ascii="仿宋_GB2312" w:hAnsi="仿宋_GB2312" w:cs="仿宋_GB2312"/>
          <w:szCs w:val="32"/>
        </w:rPr>
        <w:t>清水</w:t>
      </w:r>
      <w:r>
        <w:rPr>
          <w:rFonts w:hint="eastAsia" w:ascii="仿宋_GB2312" w:hAnsi="仿宋_GB2312" w:cs="仿宋_GB2312"/>
          <w:szCs w:val="32"/>
          <w:lang w:val="en-US" w:eastAsia="zh-CN"/>
        </w:rPr>
        <w:t>全部回用</w:t>
      </w:r>
      <w:r>
        <w:rPr>
          <w:rFonts w:hint="eastAsia" w:ascii="仿宋_GB2312" w:hAnsi="仿宋_GB2312" w:cs="仿宋_GB2312"/>
          <w:szCs w:val="32"/>
        </w:rPr>
        <w:t>，浓水排入济源市第二污水处理厂</w:t>
      </w:r>
      <w:r>
        <w:rPr>
          <w:rFonts w:hint="eastAsia" w:ascii="仿宋_GB2312" w:hAnsi="仿宋_GB2312" w:cs="仿宋_GB2312"/>
          <w:szCs w:val="32"/>
          <w:lang w:eastAsia="zh-CN"/>
        </w:rPr>
        <w:t>。</w:t>
      </w:r>
      <w:r>
        <w:rPr>
          <w:rFonts w:hint="eastAsia" w:ascii="仿宋_GB2312" w:hAnsi="仿宋_GB2312" w:cs="仿宋_GB2312"/>
          <w:szCs w:val="32"/>
          <w:lang w:val="en-US" w:eastAsia="zh-CN"/>
        </w:rPr>
        <w:t>外排水质</w:t>
      </w:r>
      <w:r>
        <w:rPr>
          <w:rFonts w:hint="eastAsia" w:ascii="仿宋_GB2312" w:hAnsi="仿宋_GB2312" w:eastAsia="仿宋_GB2312" w:cs="仿宋_GB2312"/>
          <w:szCs w:val="32"/>
        </w:rPr>
        <w:t>须满足</w:t>
      </w:r>
      <w:r>
        <w:rPr>
          <w:rFonts w:hint="eastAsia" w:ascii="仿宋_GB2312" w:hAnsi="仿宋_GB2312" w:cs="仿宋_GB2312"/>
          <w:szCs w:val="32"/>
        </w:rPr>
        <w:t>《铅、锌工业污染物排放标准》（GB25466-2010）</w:t>
      </w:r>
      <w:r>
        <w:rPr>
          <w:rFonts w:hint="eastAsia" w:ascii="仿宋_GB2312" w:hAnsi="仿宋_GB2312" w:cs="仿宋_GB2312"/>
          <w:szCs w:val="32"/>
          <w:lang w:val="en-US" w:eastAsia="zh-CN"/>
        </w:rPr>
        <w:t>及济源市第二污水处理厂</w:t>
      </w:r>
      <w:r>
        <w:rPr>
          <w:rFonts w:hint="eastAsia" w:ascii="仿宋_GB2312" w:hAnsi="仿宋_GB2312" w:cs="仿宋_GB2312"/>
          <w:szCs w:val="32"/>
        </w:rPr>
        <w:t>收水水质要求。</w:t>
      </w:r>
    </w:p>
    <w:p w14:paraId="1495F8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3.噪声：严格落实噪声污染防治措施。</w:t>
      </w:r>
      <w:r>
        <w:rPr>
          <w:rFonts w:hint="eastAsia" w:ascii="仿宋_GB2312" w:hAnsi="仿宋_GB2312" w:eastAsia="仿宋_GB2312" w:cs="仿宋_GB2312"/>
          <w:szCs w:val="32"/>
        </w:rPr>
        <w:t>项目厂界</w:t>
      </w:r>
      <w:r>
        <w:rPr>
          <w:rFonts w:hint="eastAsia" w:ascii="仿宋_GB2312" w:hAnsi="仿宋_GB2312" w:cs="仿宋_GB2312"/>
          <w:szCs w:val="32"/>
        </w:rPr>
        <w:t>噪声满足《工业企业厂界环境噪声排放标准》（GB12348-2008）3类</w:t>
      </w:r>
      <w:r>
        <w:rPr>
          <w:rFonts w:hint="eastAsia" w:ascii="仿宋_GB2312" w:hAnsi="仿宋_GB2312" w:cs="仿宋_GB2312"/>
          <w:szCs w:val="32"/>
          <w:lang w:val="en-US" w:eastAsia="zh-CN"/>
        </w:rPr>
        <w:t>标准</w:t>
      </w:r>
      <w:r>
        <w:rPr>
          <w:rFonts w:hint="eastAsia" w:ascii="仿宋_GB2312" w:hAnsi="仿宋_GB2312" w:cs="仿宋_GB2312"/>
          <w:szCs w:val="32"/>
        </w:rPr>
        <w:t>要求。</w:t>
      </w:r>
    </w:p>
    <w:p w14:paraId="7558B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4.固废：</w:t>
      </w:r>
      <w:r>
        <w:rPr>
          <w:rFonts w:hint="eastAsia" w:ascii="仿宋_GB2312" w:hAnsi="仿宋_GB2312" w:eastAsia="仿宋_GB2312" w:cs="仿宋_GB2312"/>
          <w:szCs w:val="32"/>
        </w:rPr>
        <w:t>按照“减量化、资源化、无害化”的原则，落实各类固体废物的收集、处置和综合利用措施,并做好日常管理台账记录。各类固体废物贮存、处置应满足《固体废物污染环境防治法》《危险废物贮存污染控制标准》（GB18597 -2023）要求，避免对环境造成二次污染</w:t>
      </w:r>
    </w:p>
    <w:p w14:paraId="0CBA25D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lang w:eastAsia="zh-CN"/>
        </w:rPr>
        <w:t>（四）</w:t>
      </w:r>
      <w:r>
        <w:rPr>
          <w:rFonts w:hint="eastAsia" w:ascii="仿宋_GB2312" w:hAnsi="仿宋_GB2312" w:cs="仿宋_GB2312"/>
          <w:szCs w:val="32"/>
        </w:rPr>
        <w:t>落实土壤及地下水污染防治措施，采取源头控制、分区防渗等措施，加强厂区周围土壤及地下水水质监控，严防土壤和地下水污染。</w:t>
      </w:r>
    </w:p>
    <w:p w14:paraId="1F40D6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eastAsia="zh-CN"/>
        </w:rPr>
        <w:t>五</w:t>
      </w:r>
      <w:r>
        <w:rPr>
          <w:rFonts w:hint="eastAsia" w:ascii="仿宋_GB2312" w:hAnsi="仿宋_GB2312" w:cs="仿宋_GB2312"/>
          <w:szCs w:val="32"/>
        </w:rPr>
        <w:t>）加强环境风险管理，落实《报告书》提出的环境风险防范措施，制定环境风险及事故应急预案，加强日常管理，严防环境污染事故发生。</w:t>
      </w:r>
    </w:p>
    <w:p w14:paraId="7C47E3BD">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五、</w:t>
      </w:r>
      <w:r>
        <w:rPr>
          <w:rFonts w:hint="eastAsia" w:ascii="仿宋_GB2312" w:hAnsi="仿宋_GB2312" w:eastAsia="仿宋_GB2312" w:cs="仿宋_GB2312"/>
          <w:color w:val="auto"/>
          <w:sz w:val="32"/>
          <w:szCs w:val="32"/>
          <w:highlight w:val="none"/>
          <w:lang w:val="en-US" w:eastAsia="zh-CN"/>
        </w:rPr>
        <w:t>落实《报告书》要求，按照重污染天气相关行业应急减排措施制定技术指南A级企业绩效分级指标，进行建设和管理。</w:t>
      </w:r>
    </w:p>
    <w:p w14:paraId="15036D9F">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lang w:val="en-US" w:eastAsia="zh-CN"/>
        </w:rPr>
        <w:t>六、</w:t>
      </w:r>
      <w:r>
        <w:rPr>
          <w:rFonts w:hint="eastAsia" w:ascii="仿宋_GB2312" w:hAnsi="仿宋_GB2312" w:cs="仿宋_GB2312"/>
          <w:szCs w:val="32"/>
        </w:rPr>
        <w:t>按国家有关规定设置规范的污染物排放口，并设立明显标志，按要求安装污染物排放自动监测设备，主要监测点位按要求安装视频监控。严格落实《报告书》相关环境监测计划，定期对各类污染物进行监测，发布相关信息，发现问题及时采取整改措施。</w:t>
      </w:r>
    </w:p>
    <w:p w14:paraId="6FEA86C4">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七、严格执行环保“三同时”制度，按要求</w:t>
      </w:r>
      <w:r>
        <w:rPr>
          <w:rFonts w:hint="eastAsia" w:ascii="仿宋_GB2312" w:hAnsi="仿宋_GB2312" w:cs="仿宋_GB2312"/>
          <w:szCs w:val="32"/>
          <w:lang w:val="en-US" w:eastAsia="zh-CN"/>
        </w:rPr>
        <w:t>变更</w:t>
      </w:r>
      <w:r>
        <w:rPr>
          <w:rFonts w:hint="eastAsia" w:ascii="仿宋_GB2312" w:hAnsi="仿宋_GB2312" w:cs="仿宋_GB2312"/>
          <w:szCs w:val="32"/>
        </w:rPr>
        <w:t>排污许可证，按规定程序实施竣工环境保护验收，经验收合格后方可正式投产。</w:t>
      </w:r>
    </w:p>
    <w:p w14:paraId="4DD5455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八、本批复有效期为5年，如该项目逾期方开工建设，其环境影响报告书应报我局重新审核。</w:t>
      </w:r>
      <w:r>
        <w:rPr>
          <w:rFonts w:hint="eastAsia" w:ascii="仿宋_GB2312" w:hAnsi="仿宋_GB2312" w:eastAsia="仿宋_GB2312" w:cs="仿宋_GB2312"/>
          <w:szCs w:val="32"/>
          <w:lang w:eastAsia="zh-CN"/>
        </w:rPr>
        <w:t>如项目建设发生重大变动，应重新进行环境影响评价。</w:t>
      </w:r>
    </w:p>
    <w:p w14:paraId="1AC58452">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lang w:val="en-US" w:eastAsia="zh-CN"/>
        </w:rPr>
        <w:t>九</w:t>
      </w:r>
      <w:r>
        <w:rPr>
          <w:rFonts w:hint="eastAsia" w:ascii="仿宋_GB2312" w:hAnsi="仿宋_GB2312" w:cs="仿宋_GB2312"/>
          <w:szCs w:val="32"/>
        </w:rPr>
        <w:t>、今后国家或我省颁布严于本批复污染物排放限值的新标准，届时你</w:t>
      </w:r>
      <w:r>
        <w:rPr>
          <w:rFonts w:hint="eastAsia" w:ascii="仿宋_GB2312" w:hAnsi="仿宋_GB2312" w:cs="仿宋_GB2312"/>
          <w:szCs w:val="32"/>
          <w:lang w:val="en-US" w:eastAsia="zh-CN"/>
        </w:rPr>
        <w:t>单位</w:t>
      </w:r>
      <w:r>
        <w:rPr>
          <w:rFonts w:hint="eastAsia" w:ascii="仿宋_GB2312" w:hAnsi="仿宋_GB2312" w:cs="仿宋_GB2312"/>
          <w:szCs w:val="32"/>
        </w:rPr>
        <w:t>应按新的排放标准执行。</w:t>
      </w:r>
    </w:p>
    <w:p w14:paraId="57FF78CD">
      <w:pPr>
        <w:adjustRightInd w:val="0"/>
        <w:snapToGrid w:val="0"/>
        <w:spacing w:line="560" w:lineRule="exact"/>
        <w:ind w:firstLine="640" w:firstLineChars="200"/>
        <w:rPr>
          <w:rFonts w:hint="eastAsia" w:ascii="仿宋_GB2312" w:hAnsi="仿宋_GB2312" w:cs="仿宋_GB2312"/>
          <w:szCs w:val="32"/>
        </w:rPr>
      </w:pPr>
    </w:p>
    <w:p w14:paraId="3A22ECCC">
      <w:pPr>
        <w:adjustRightInd w:val="0"/>
        <w:snapToGrid w:val="0"/>
        <w:spacing w:line="560" w:lineRule="exact"/>
        <w:ind w:firstLine="640" w:firstLineChars="200"/>
        <w:rPr>
          <w:rFonts w:hint="eastAsia" w:ascii="仿宋_GB2312" w:hAnsi="仿宋_GB2312" w:cs="仿宋_GB2312"/>
          <w:szCs w:val="32"/>
        </w:rPr>
      </w:pPr>
    </w:p>
    <w:p w14:paraId="554FF440">
      <w:pPr>
        <w:adjustRightInd w:val="0"/>
        <w:snapToGrid w:val="0"/>
        <w:spacing w:line="560" w:lineRule="exact"/>
        <w:ind w:firstLine="640" w:firstLineChars="200"/>
        <w:rPr>
          <w:rFonts w:hint="eastAsia" w:ascii="仿宋_GB2312" w:hAnsi="仿宋_GB2312" w:cs="仿宋_GB2312"/>
          <w:szCs w:val="32"/>
        </w:rPr>
      </w:pPr>
    </w:p>
    <w:p w14:paraId="44653DA0">
      <w:pPr>
        <w:adjustRightInd w:val="0"/>
        <w:snapToGrid w:val="0"/>
        <w:spacing w:line="560" w:lineRule="exact"/>
        <w:jc w:val="center"/>
        <w:rPr>
          <w:rFonts w:hint="default" w:ascii="仿宋_GB2312" w:hAnsi="仿宋_GB2312" w:eastAsia="仿宋_GB2312" w:cs="仿宋_GB2312"/>
          <w:szCs w:val="32"/>
          <w:lang w:val="en-US" w:eastAsia="zh-CN"/>
        </w:rPr>
      </w:pPr>
      <w:r>
        <w:rPr>
          <w:rFonts w:hint="eastAsia" w:ascii="仿宋_GB2312" w:hAnsi="仿宋_GB2312" w:cs="仿宋_GB2312"/>
          <w:szCs w:val="32"/>
        </w:rPr>
        <w:t xml:space="preserve">                    </w:t>
      </w:r>
      <w:r>
        <w:rPr>
          <w:rFonts w:hint="eastAsia" w:ascii="仿宋_GB2312" w:hAnsi="仿宋_GB2312" w:cs="仿宋_GB2312"/>
          <w:szCs w:val="32"/>
          <w:highlight w:val="none"/>
        </w:rPr>
        <w:t>202</w:t>
      </w:r>
      <w:r>
        <w:rPr>
          <w:rFonts w:hint="eastAsia" w:ascii="仿宋_GB2312" w:hAnsi="仿宋_GB2312" w:cs="仿宋_GB2312"/>
          <w:szCs w:val="32"/>
          <w:highlight w:val="none"/>
          <w:lang w:val="en-US" w:eastAsia="zh-CN"/>
        </w:rPr>
        <w:t>6</w:t>
      </w:r>
      <w:r>
        <w:rPr>
          <w:rFonts w:hint="eastAsia" w:ascii="仿宋_GB2312" w:hAnsi="仿宋_GB2312" w:cs="仿宋_GB2312"/>
          <w:szCs w:val="32"/>
          <w:highlight w:val="none"/>
        </w:rPr>
        <w:t>年</w:t>
      </w:r>
      <w:r>
        <w:rPr>
          <w:rFonts w:hint="eastAsia" w:ascii="仿宋_GB2312" w:hAnsi="仿宋_GB2312" w:cs="仿宋_GB2312"/>
          <w:szCs w:val="32"/>
          <w:highlight w:val="none"/>
          <w:lang w:val="en-US" w:eastAsia="zh-CN"/>
        </w:rPr>
        <w:t>4</w:t>
      </w:r>
      <w:r>
        <w:rPr>
          <w:rFonts w:hint="eastAsia" w:ascii="仿宋_GB2312" w:hAnsi="仿宋_GB2312" w:cs="仿宋_GB2312"/>
          <w:szCs w:val="32"/>
          <w:highlight w:val="none"/>
        </w:rPr>
        <w:t>月</w:t>
      </w:r>
      <w:r>
        <w:rPr>
          <w:rFonts w:hint="eastAsia" w:ascii="仿宋_GB2312" w:hAnsi="仿宋_GB2312" w:cs="仿宋_GB2312"/>
          <w:szCs w:val="32"/>
          <w:highlight w:val="none"/>
          <w:lang w:val="en-US" w:eastAsia="zh-CN"/>
        </w:rPr>
        <w:t>27</w:t>
      </w:r>
      <w:r>
        <w:rPr>
          <w:rFonts w:hint="eastAsia" w:ascii="仿宋_GB2312" w:hAnsi="仿宋_GB2312" w:cs="仿宋_GB2312"/>
          <w:szCs w:val="32"/>
          <w:highlight w:val="none"/>
        </w:rPr>
        <w:t>日</w:t>
      </w:r>
      <w:r>
        <w:rPr>
          <w:rFonts w:hint="eastAsia" w:ascii="仿宋_GB2312" w:hAnsi="仿宋_GB2312" w:cs="仿宋_GB231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29F95"/>
    <w:multiLevelType w:val="singleLevel"/>
    <w:tmpl w:val="73129F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jQ1MjJlZDQ4MGU1YzQyNGVmODhmNzVkYjRiMDQifQ=="/>
  </w:docVars>
  <w:rsids>
    <w:rsidRoot w:val="009D6731"/>
    <w:rsid w:val="00184B20"/>
    <w:rsid w:val="001E50E1"/>
    <w:rsid w:val="00341CC4"/>
    <w:rsid w:val="00444988"/>
    <w:rsid w:val="00476956"/>
    <w:rsid w:val="004E3540"/>
    <w:rsid w:val="005C4799"/>
    <w:rsid w:val="00621026"/>
    <w:rsid w:val="006E2B61"/>
    <w:rsid w:val="00790523"/>
    <w:rsid w:val="00940D30"/>
    <w:rsid w:val="009D6731"/>
    <w:rsid w:val="00C12CA0"/>
    <w:rsid w:val="00C4566F"/>
    <w:rsid w:val="00E6566C"/>
    <w:rsid w:val="00EA21B5"/>
    <w:rsid w:val="00F26B39"/>
    <w:rsid w:val="00F361EC"/>
    <w:rsid w:val="00FD2FFE"/>
    <w:rsid w:val="00FD5695"/>
    <w:rsid w:val="00FE1028"/>
    <w:rsid w:val="01212093"/>
    <w:rsid w:val="04836323"/>
    <w:rsid w:val="04D46B3B"/>
    <w:rsid w:val="06FF3E09"/>
    <w:rsid w:val="0A960962"/>
    <w:rsid w:val="0F70383F"/>
    <w:rsid w:val="1AAA57BA"/>
    <w:rsid w:val="1FC702E1"/>
    <w:rsid w:val="20C602D3"/>
    <w:rsid w:val="22072167"/>
    <w:rsid w:val="24B7634F"/>
    <w:rsid w:val="2579116C"/>
    <w:rsid w:val="257F031C"/>
    <w:rsid w:val="267BA792"/>
    <w:rsid w:val="276930F2"/>
    <w:rsid w:val="299A1C85"/>
    <w:rsid w:val="2B827534"/>
    <w:rsid w:val="31002765"/>
    <w:rsid w:val="36FE2A64"/>
    <w:rsid w:val="3BF10EB2"/>
    <w:rsid w:val="47C65C99"/>
    <w:rsid w:val="4AF63E51"/>
    <w:rsid w:val="4C3E1A99"/>
    <w:rsid w:val="4DC424F6"/>
    <w:rsid w:val="4EDE6D6B"/>
    <w:rsid w:val="508C759D"/>
    <w:rsid w:val="5BD4863C"/>
    <w:rsid w:val="5F9000D9"/>
    <w:rsid w:val="620C23B5"/>
    <w:rsid w:val="63515AC1"/>
    <w:rsid w:val="662463D7"/>
    <w:rsid w:val="68746DC1"/>
    <w:rsid w:val="692D6F40"/>
    <w:rsid w:val="698A44E3"/>
    <w:rsid w:val="69CB13AE"/>
    <w:rsid w:val="69D1357C"/>
    <w:rsid w:val="6BB460C7"/>
    <w:rsid w:val="6CDD8372"/>
    <w:rsid w:val="6F254179"/>
    <w:rsid w:val="6FF39570"/>
    <w:rsid w:val="72E045F8"/>
    <w:rsid w:val="73F71988"/>
    <w:rsid w:val="75D19977"/>
    <w:rsid w:val="765D951E"/>
    <w:rsid w:val="775D48DF"/>
    <w:rsid w:val="77AD4104"/>
    <w:rsid w:val="78F82FF6"/>
    <w:rsid w:val="79982F8C"/>
    <w:rsid w:val="7B696311"/>
    <w:rsid w:val="7D8B6583"/>
    <w:rsid w:val="7DEA4AB5"/>
    <w:rsid w:val="AAEB4F98"/>
    <w:rsid w:val="D7FA0409"/>
    <w:rsid w:val="D87F9C54"/>
    <w:rsid w:val="DD6FBB4B"/>
    <w:rsid w:val="DF5F2A87"/>
    <w:rsid w:val="EECBC687"/>
    <w:rsid w:val="F8DF557C"/>
    <w:rsid w:val="F9EFDE13"/>
    <w:rsid w:val="FFBF32AE"/>
    <w:rsid w:val="FFF4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rPr>
  </w:style>
  <w:style w:type="paragraph" w:styleId="3">
    <w:name w:val="Body Text"/>
    <w:basedOn w:val="1"/>
    <w:link w:val="13"/>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Body Text Indent 2"/>
    <w:basedOn w:val="1"/>
    <w:next w:val="1"/>
    <w:unhideWhenUsed/>
    <w:qFormat/>
    <w:uiPriority w:val="99"/>
    <w:pPr>
      <w:spacing w:after="120" w:line="480" w:lineRule="auto"/>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eastAsia="宋体" w:cs="宋体"/>
      <w:kern w:val="0"/>
      <w:sz w:val="24"/>
    </w:rPr>
  </w:style>
  <w:style w:type="character" w:customStyle="1" w:styleId="11">
    <w:name w:val="页眉 Char"/>
    <w:basedOn w:val="10"/>
    <w:link w:val="7"/>
    <w:qFormat/>
    <w:uiPriority w:val="0"/>
    <w:rPr>
      <w:rFonts w:ascii="宋体" w:hAnsi="宋体" w:eastAsia="仿宋_GB2312" w:cs="Times New Roman"/>
      <w:kern w:val="2"/>
      <w:sz w:val="18"/>
      <w:szCs w:val="18"/>
    </w:rPr>
  </w:style>
  <w:style w:type="character" w:customStyle="1" w:styleId="12">
    <w:name w:val="页脚 Char"/>
    <w:basedOn w:val="10"/>
    <w:link w:val="6"/>
    <w:qFormat/>
    <w:uiPriority w:val="0"/>
    <w:rPr>
      <w:rFonts w:ascii="宋体" w:hAnsi="宋体" w:eastAsia="仿宋_GB2312" w:cs="Times New Roman"/>
      <w:kern w:val="2"/>
      <w:sz w:val="18"/>
      <w:szCs w:val="18"/>
    </w:rPr>
  </w:style>
  <w:style w:type="character" w:customStyle="1" w:styleId="13">
    <w:name w:val="正文文本 Char"/>
    <w:basedOn w:val="10"/>
    <w:link w:val="3"/>
    <w:qFormat/>
    <w:uiPriority w:val="0"/>
    <w:rPr>
      <w:rFonts w:ascii="宋体" w:hAnsi="宋体" w:eastAsia="仿宋_GB2312"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1638</Words>
  <Characters>1735</Characters>
  <Lines>13</Lines>
  <Paragraphs>3</Paragraphs>
  <TotalTime>9</TotalTime>
  <ScaleCrop>false</ScaleCrop>
  <LinksUpToDate>false</LinksUpToDate>
  <CharactersWithSpaces>1764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2023-12-08T09:26:00Z</dcterms:created>
  <dc:creator>jia</dc:creator>
  <cp:lastModifiedBy>Administrator</cp:lastModifiedBy>
  <cp:lastPrinted>2026-04-27T08:18:51Z</cp:lastPrinted>
  <dcterms:modified xsi:type="dcterms:W3CDTF">2026-04-27T08:20:40Z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5C74353C58DA4B739876D2B8D0F6F022</vt:lpwstr>
  </property>
  <property fmtid="{D5CDD505-2E9C-101B-9397-08002B2CF9AE}" pid="4" name="KSOTemplateDocerSaveRecord">
    <vt:lpwstr>eyJoZGlkIjoiMmIyMjQ1MjJlZDQ4MGU1YzQyNGVmODhmNzVkYjRiMDQiLCJ1c2VySWQiOiIyMDAwNjc2MzgifQ==</vt:lpwstr>
  </property>
</Properties>
</file>