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B5A72A">
      <w:pPr>
        <w:spacing w:line="560" w:lineRule="exact"/>
        <w:ind w:firstLine="640" w:firstLineChars="200"/>
        <w:rPr>
          <w:rFonts w:hint="eastAsia" w:ascii="仿宋_GB2312" w:hAnsi="仿宋_GB2312" w:cs="仿宋_GB2312"/>
          <w:szCs w:val="32"/>
        </w:rPr>
      </w:pPr>
    </w:p>
    <w:p w14:paraId="7104D5D9">
      <w:pPr>
        <w:spacing w:line="560" w:lineRule="exact"/>
        <w:ind w:firstLine="640" w:firstLineChars="200"/>
        <w:rPr>
          <w:rFonts w:hint="eastAsia" w:ascii="仿宋_GB2312" w:hAnsi="仿宋_GB2312" w:cs="仿宋_GB2312"/>
          <w:szCs w:val="32"/>
        </w:rPr>
      </w:pPr>
    </w:p>
    <w:p w14:paraId="495D386A">
      <w:pPr>
        <w:spacing w:line="560" w:lineRule="exact"/>
        <w:ind w:firstLine="640" w:firstLineChars="200"/>
        <w:rPr>
          <w:rFonts w:hint="eastAsia" w:ascii="仿宋_GB2312" w:hAnsi="仿宋_GB2312" w:cs="仿宋_GB2312"/>
          <w:szCs w:val="32"/>
        </w:rPr>
      </w:pPr>
    </w:p>
    <w:p w14:paraId="3CAD5E72">
      <w:pPr>
        <w:spacing w:line="560" w:lineRule="exact"/>
        <w:ind w:firstLine="640" w:firstLineChars="200"/>
        <w:rPr>
          <w:rFonts w:hint="eastAsia" w:ascii="仿宋_GB2312" w:hAnsi="仿宋_GB2312" w:cs="仿宋_GB2312"/>
          <w:szCs w:val="32"/>
        </w:rPr>
      </w:pPr>
    </w:p>
    <w:p w14:paraId="3B604F61">
      <w:pPr>
        <w:spacing w:line="560" w:lineRule="exact"/>
        <w:ind w:firstLine="640" w:firstLineChars="200"/>
        <w:rPr>
          <w:rFonts w:hint="eastAsia" w:ascii="仿宋_GB2312" w:hAnsi="仿宋_GB2312" w:cs="仿宋_GB2312"/>
          <w:szCs w:val="32"/>
        </w:rPr>
      </w:pPr>
    </w:p>
    <w:p w14:paraId="3FD71786">
      <w:pPr>
        <w:wordWrap w:val="0"/>
        <w:spacing w:line="560" w:lineRule="exact"/>
        <w:jc w:val="right"/>
        <w:rPr>
          <w:rFonts w:hint="eastAsia" w:ascii="仿宋_GB2312" w:hAnsi="仿宋_GB2312" w:cs="仿宋_GB2312"/>
          <w:szCs w:val="32"/>
        </w:rPr>
      </w:pPr>
      <w:r>
        <w:rPr>
          <w:rFonts w:ascii="仿宋_GB2312" w:hAnsi="仿宋_GB2312" w:cs="仿宋_GB2312"/>
          <w:szCs w:val="32"/>
        </w:rPr>
        <w:t>济环审〔202</w:t>
      </w:r>
      <w:r>
        <w:rPr>
          <w:rFonts w:hint="eastAsia" w:ascii="仿宋_GB2312" w:hAnsi="仿宋_GB2312" w:cs="仿宋_GB2312"/>
          <w:szCs w:val="32"/>
        </w:rPr>
        <w:t>6</w:t>
      </w:r>
      <w:r>
        <w:rPr>
          <w:rFonts w:ascii="仿宋_GB2312" w:hAnsi="仿宋_GB2312" w:cs="仿宋_GB2312"/>
          <w:szCs w:val="32"/>
        </w:rPr>
        <w:t>〕</w:t>
      </w:r>
      <w:r>
        <w:rPr>
          <w:rFonts w:hint="eastAsia" w:ascii="仿宋_GB2312" w:hAnsi="仿宋_GB2312" w:cs="仿宋_GB2312"/>
          <w:color w:val="auto"/>
          <w:szCs w:val="32"/>
          <w:lang w:val="en-US" w:eastAsia="zh-CN"/>
        </w:rPr>
        <w:t>5</w:t>
      </w:r>
      <w:r>
        <w:rPr>
          <w:rFonts w:ascii="仿宋_GB2312" w:hAnsi="仿宋_GB2312" w:cs="仿宋_GB2312"/>
          <w:szCs w:val="32"/>
        </w:rPr>
        <w:t>号</w:t>
      </w:r>
    </w:p>
    <w:p w14:paraId="456A5B5E">
      <w:pPr>
        <w:keepNext w:val="0"/>
        <w:keepLines w:val="0"/>
        <w:pageBreakBefore w:val="0"/>
        <w:widowControl/>
        <w:kinsoku/>
        <w:wordWrap/>
        <w:overflowPunct/>
        <w:topLinePunct w:val="0"/>
        <w:autoSpaceDE/>
        <w:autoSpaceDN/>
        <w:bidi w:val="0"/>
        <w:spacing w:line="600" w:lineRule="exact"/>
        <w:jc w:val="center"/>
        <w:textAlignment w:val="auto"/>
        <w:rPr>
          <w:rFonts w:hint="eastAsia" w:ascii="方正小标宋简体" w:hAnsi="方正小标宋简体" w:eastAsia="方正小标宋简体" w:cs="方正小标宋简体"/>
          <w:color w:val="auto"/>
          <w:kern w:val="0"/>
          <w:sz w:val="44"/>
          <w:szCs w:val="44"/>
        </w:rPr>
      </w:pPr>
    </w:p>
    <w:p w14:paraId="0BF7021B">
      <w:pPr>
        <w:widowControl/>
        <w:spacing w:line="660" w:lineRule="exact"/>
        <w:jc w:val="center"/>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济源市生态环境局</w:t>
      </w:r>
    </w:p>
    <w:p w14:paraId="7BED9EED">
      <w:pPr>
        <w:widowControl/>
        <w:spacing w:line="660" w:lineRule="exact"/>
        <w:jc w:val="center"/>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关于</w:t>
      </w:r>
      <w:r>
        <w:rPr>
          <w:rFonts w:ascii="方正小标宋简体" w:hAnsi="方正小标宋简体" w:eastAsia="方正小标宋简体" w:cs="方正小标宋简体"/>
          <w:kern w:val="0"/>
          <w:sz w:val="44"/>
          <w:szCs w:val="44"/>
        </w:rPr>
        <w:t>河南金利金锌有限公司医用及通信</w:t>
      </w:r>
    </w:p>
    <w:p w14:paraId="31A688D3">
      <w:pPr>
        <w:widowControl/>
        <w:spacing w:line="660" w:lineRule="exact"/>
        <w:jc w:val="center"/>
        <w:rPr>
          <w:rFonts w:hint="eastAsia" w:ascii="方正小标宋简体" w:hAnsi="方正小标宋简体" w:eastAsia="方正小标宋简体" w:cs="方正小标宋简体"/>
          <w:kern w:val="0"/>
          <w:sz w:val="44"/>
          <w:szCs w:val="44"/>
        </w:rPr>
      </w:pPr>
      <w:r>
        <w:rPr>
          <w:rFonts w:ascii="方正小标宋简体" w:hAnsi="方正小标宋简体" w:eastAsia="方正小标宋简体" w:cs="方正小标宋简体"/>
          <w:kern w:val="0"/>
          <w:sz w:val="44"/>
          <w:szCs w:val="44"/>
        </w:rPr>
        <w:t>应用复合材料项目</w:t>
      </w:r>
      <w:r>
        <w:rPr>
          <w:rFonts w:hint="eastAsia" w:ascii="方正小标宋简体" w:hAnsi="方正小标宋简体" w:eastAsia="方正小标宋简体" w:cs="方正小标宋简体"/>
          <w:kern w:val="0"/>
          <w:sz w:val="44"/>
          <w:szCs w:val="44"/>
        </w:rPr>
        <w:t>环境影响报告书的批复</w:t>
      </w:r>
    </w:p>
    <w:p w14:paraId="0821729F">
      <w:pPr>
        <w:snapToGrid w:val="0"/>
        <w:spacing w:line="560" w:lineRule="exact"/>
        <w:rPr>
          <w:rFonts w:hint="eastAsia" w:ascii="仿宋_GB2312" w:hAnsi="仿宋_GB2312" w:cs="仿宋_GB2312"/>
          <w:szCs w:val="32"/>
        </w:rPr>
      </w:pPr>
    </w:p>
    <w:p w14:paraId="07A05F0E">
      <w:pPr>
        <w:adjustRightInd w:val="0"/>
        <w:snapToGrid w:val="0"/>
        <w:spacing w:line="560" w:lineRule="exact"/>
        <w:rPr>
          <w:rFonts w:hint="eastAsia" w:ascii="仿宋_GB2312" w:hAnsi="仿宋_GB2312" w:cs="仿宋_GB2312"/>
          <w:szCs w:val="32"/>
        </w:rPr>
      </w:pPr>
      <w:r>
        <w:rPr>
          <w:rFonts w:ascii="仿宋_GB2312" w:hAnsi="仿宋_GB2312" w:cs="仿宋_GB2312"/>
          <w:szCs w:val="32"/>
        </w:rPr>
        <w:t>河南金利金锌有限公司</w:t>
      </w:r>
      <w:r>
        <w:rPr>
          <w:rFonts w:hint="eastAsia" w:ascii="仿宋_GB2312" w:hAnsi="仿宋_GB2312" w:cs="仿宋_GB2312"/>
          <w:szCs w:val="32"/>
        </w:rPr>
        <w:t>：</w:t>
      </w:r>
    </w:p>
    <w:p w14:paraId="08A32411">
      <w:pPr>
        <w:adjustRightInd w:val="0"/>
        <w:snapToGrid w:val="0"/>
        <w:spacing w:line="560" w:lineRule="exact"/>
        <w:ind w:firstLine="640" w:firstLineChars="200"/>
        <w:rPr>
          <w:rFonts w:hint="eastAsia" w:ascii="仿宋_GB2312" w:hAnsi="仿宋_GB2312" w:cs="仿宋_GB2312"/>
          <w:szCs w:val="32"/>
        </w:rPr>
      </w:pPr>
      <w:r>
        <w:rPr>
          <w:rFonts w:hint="eastAsia" w:ascii="仿宋_GB2312" w:hAnsi="仿宋_GB2312" w:cs="仿宋_GB2312"/>
          <w:szCs w:val="32"/>
        </w:rPr>
        <w:t>你单位（统一社会信用代码：</w:t>
      </w:r>
      <w:r>
        <w:rPr>
          <w:rFonts w:ascii="仿宋_GB2312" w:hAnsi="仿宋_GB2312" w:cs="仿宋_GB2312"/>
          <w:szCs w:val="32"/>
        </w:rPr>
        <w:t>91419001MA9FQPEN4L</w:t>
      </w:r>
      <w:r>
        <w:rPr>
          <w:rFonts w:hint="eastAsia" w:ascii="仿宋_GB2312" w:hAnsi="仿宋_GB2312" w:cs="仿宋_GB2312"/>
          <w:szCs w:val="32"/>
        </w:rPr>
        <w:t>）报送的由</w:t>
      </w:r>
      <w:r>
        <w:rPr>
          <w:rFonts w:ascii="仿宋_GB2312" w:hAnsi="仿宋_GB2312" w:cs="仿宋_GB2312"/>
          <w:szCs w:val="32"/>
        </w:rPr>
        <w:t>河南省冶金研究所有限责任公司</w:t>
      </w:r>
      <w:r>
        <w:rPr>
          <w:rFonts w:hint="eastAsia" w:ascii="仿宋_GB2312" w:hAnsi="仿宋_GB2312" w:cs="仿宋_GB2312"/>
          <w:szCs w:val="32"/>
        </w:rPr>
        <w:t>鲁然英主持编制的《</w:t>
      </w:r>
      <w:r>
        <w:rPr>
          <w:rFonts w:ascii="仿宋_GB2312" w:hAnsi="仿宋_GB2312" w:cs="仿宋_GB2312"/>
          <w:szCs w:val="32"/>
        </w:rPr>
        <w:t>河南金利金锌有限公司医用及通信应用复合材料项目</w:t>
      </w:r>
      <w:r>
        <w:rPr>
          <w:rFonts w:hint="eastAsia" w:ascii="仿宋_GB2312" w:hAnsi="仿宋_GB2312" w:cs="仿宋_GB2312"/>
          <w:szCs w:val="32"/>
        </w:rPr>
        <w:t>环境影响报告书》（以下简称《报告书》）及行政审批申请等资料收悉，项目环评审批事项已在我局网站公示期满。根据《中华人民共和国环境保护法》《中华人民共和国行政许可法》《中华人民共和国环境影响评价法》《建设项目环境保护管理条例》等法律法规，经研究，批复如下：</w:t>
      </w:r>
    </w:p>
    <w:p w14:paraId="6E916C79">
      <w:pPr>
        <w:adjustRightInd w:val="0"/>
        <w:snapToGrid w:val="0"/>
        <w:spacing w:line="560" w:lineRule="exact"/>
        <w:ind w:firstLine="640" w:firstLineChars="200"/>
        <w:rPr>
          <w:rFonts w:hint="eastAsia"/>
          <w:highlight w:val="yellow"/>
        </w:rPr>
      </w:pPr>
      <w:r>
        <w:rPr>
          <w:rFonts w:hint="eastAsia" w:ascii="仿宋_GB2312" w:hAnsi="仿宋_GB2312" w:cs="仿宋_GB2312"/>
          <w:szCs w:val="32"/>
        </w:rPr>
        <w:t>一、项目</w:t>
      </w:r>
      <w:r>
        <w:rPr>
          <w:rFonts w:hint="eastAsia" w:ascii="仿宋_GB2312" w:hAnsi="仿宋_GB2312" w:cs="仿宋_GB2312"/>
          <w:szCs w:val="32"/>
          <w:lang w:eastAsia="zh-CN"/>
        </w:rPr>
        <w:t>利用</w:t>
      </w:r>
      <w:r>
        <w:rPr>
          <w:rFonts w:hint="eastAsia" w:ascii="仿宋_GB2312" w:hAnsi="仿宋_GB2312" w:cs="仿宋_GB2312"/>
          <w:szCs w:val="32"/>
        </w:rPr>
        <w:t>济源经济技术开发区</w:t>
      </w:r>
      <w:r>
        <w:rPr>
          <w:rFonts w:ascii="仿宋_GB2312" w:hAnsi="仿宋_GB2312" w:cs="仿宋_GB2312"/>
          <w:szCs w:val="32"/>
        </w:rPr>
        <w:t>河南金利金锌有限公司</w:t>
      </w:r>
      <w:r>
        <w:rPr>
          <w:rFonts w:hint="eastAsia" w:ascii="Times New Roman" w:hAnsi="Times New Roman"/>
          <w:szCs w:val="32"/>
        </w:rPr>
        <w:t>现有厂区</w:t>
      </w:r>
      <w:r>
        <w:rPr>
          <w:rFonts w:hint="eastAsia" w:ascii="Times New Roman" w:hAnsi="Times New Roman"/>
          <w:szCs w:val="32"/>
          <w:lang w:eastAsia="zh-CN"/>
        </w:rPr>
        <w:t>预留用地</w:t>
      </w:r>
      <w:r>
        <w:rPr>
          <w:rFonts w:hint="eastAsia" w:ascii="Times New Roman" w:hAnsi="Times New Roman"/>
          <w:szCs w:val="32"/>
        </w:rPr>
        <w:t>，</w:t>
      </w:r>
      <w:r>
        <w:rPr>
          <w:rFonts w:hint="eastAsia" w:ascii="Times New Roman" w:hAnsi="Times New Roman"/>
          <w:szCs w:val="32"/>
          <w:lang w:eastAsia="zh-CN"/>
        </w:rPr>
        <w:t>建设</w:t>
      </w:r>
      <w:r>
        <w:rPr>
          <w:rFonts w:ascii="Times New Roman" w:hAnsi="Times New Roman"/>
          <w:szCs w:val="32"/>
        </w:rPr>
        <w:t>金属铋制品、氧化铋、铋化合物</w:t>
      </w:r>
      <w:r>
        <w:rPr>
          <w:rFonts w:hint="eastAsia" w:ascii="Times New Roman" w:hAnsi="Times New Roman"/>
          <w:szCs w:val="32"/>
          <w:lang w:eastAsia="zh-CN"/>
        </w:rPr>
        <w:t>生产线。</w:t>
      </w:r>
      <w:r>
        <w:rPr>
          <w:rFonts w:ascii="Times New Roman" w:hAnsi="Times New Roman"/>
          <w:szCs w:val="32"/>
        </w:rPr>
        <w:t>主要原料为</w:t>
      </w:r>
      <w:r>
        <w:rPr>
          <w:rFonts w:hint="eastAsia" w:ascii="Times New Roman" w:hAnsi="Times New Roman"/>
          <w:szCs w:val="32"/>
          <w:lang w:eastAsia="zh-CN"/>
        </w:rPr>
        <w:t>精铋，</w:t>
      </w:r>
      <w:r>
        <w:rPr>
          <w:rFonts w:ascii="Times New Roman" w:hAnsi="Times New Roman"/>
          <w:szCs w:val="32"/>
        </w:rPr>
        <w:t>主要生产设备有熔化炉、制针机、制粒机、破碎机、粉碎机、巴顿炉、隧道窑、反应釜、干燥机、包装机、储罐等。</w:t>
      </w:r>
    </w:p>
    <w:p w14:paraId="1301A422">
      <w:pPr>
        <w:adjustRightInd w:val="0"/>
        <w:snapToGrid w:val="0"/>
        <w:spacing w:line="560" w:lineRule="exact"/>
        <w:ind w:firstLine="640" w:firstLineChars="200"/>
        <w:rPr>
          <w:rFonts w:hint="eastAsia" w:ascii="仿宋_GB2312" w:hAnsi="仿宋_GB2312" w:cs="仿宋_GB2312"/>
          <w:szCs w:val="32"/>
        </w:rPr>
      </w:pPr>
      <w:r>
        <w:rPr>
          <w:rFonts w:hint="eastAsia" w:ascii="仿宋_GB2312" w:hAnsi="仿宋_GB2312" w:cs="仿宋_GB2312"/>
          <w:szCs w:val="32"/>
        </w:rPr>
        <w:t>二、该《报告书》内容符合国家有关法律法规要求和建设项目环境管理规定，符合生态环境分区管控要求，符合所在园区规划环评要求，评价结论可信。我局批准该《报告书》，原则同意你单位按照《报告书》所列项目的建设内容和环境保护对策措施进行项目建设。</w:t>
      </w:r>
    </w:p>
    <w:p w14:paraId="365C2DA2">
      <w:pPr>
        <w:adjustRightInd w:val="0"/>
        <w:snapToGrid w:val="0"/>
        <w:spacing w:line="560" w:lineRule="exact"/>
        <w:ind w:firstLine="640" w:firstLineChars="200"/>
        <w:rPr>
          <w:rFonts w:hint="eastAsia" w:ascii="仿宋_GB2312" w:hAnsi="仿宋_GB2312" w:cs="仿宋_GB2312"/>
          <w:szCs w:val="32"/>
        </w:rPr>
      </w:pPr>
      <w:r>
        <w:rPr>
          <w:rFonts w:hint="eastAsia" w:ascii="仿宋_GB2312" w:hAnsi="仿宋_GB2312" w:cs="仿宋_GB2312"/>
          <w:szCs w:val="32"/>
        </w:rPr>
        <w:t>三、你单位应向社会公众主动公开已经批准的《报告书》，接受相关方的垂询。</w:t>
      </w:r>
    </w:p>
    <w:p w14:paraId="6067D3AB">
      <w:pPr>
        <w:adjustRightInd w:val="0"/>
        <w:snapToGrid w:val="0"/>
        <w:spacing w:line="560" w:lineRule="exact"/>
        <w:ind w:firstLine="640" w:firstLineChars="200"/>
        <w:rPr>
          <w:rFonts w:hint="eastAsia" w:ascii="仿宋_GB2312" w:hAnsi="仿宋_GB2312" w:cs="仿宋_GB2312"/>
          <w:szCs w:val="32"/>
        </w:rPr>
      </w:pPr>
      <w:r>
        <w:rPr>
          <w:rFonts w:hint="eastAsia" w:ascii="仿宋_GB2312" w:hAnsi="仿宋_GB2312" w:cs="仿宋_GB2312"/>
          <w:szCs w:val="32"/>
        </w:rPr>
        <w:t>四、你单位应全面落实《报告书》提出的各项环境保护措施，各项环境保护设施与主体工程同时设计、同时施工、同时投入使用，确保各项污染物达标排放。</w:t>
      </w:r>
    </w:p>
    <w:p w14:paraId="5B503967">
      <w:pPr>
        <w:adjustRightInd w:val="0"/>
        <w:snapToGrid w:val="0"/>
        <w:spacing w:line="560" w:lineRule="exact"/>
        <w:ind w:firstLine="640" w:firstLineChars="200"/>
        <w:rPr>
          <w:rFonts w:hint="eastAsia" w:ascii="仿宋_GB2312" w:hAnsi="仿宋_GB2312" w:cs="仿宋_GB2312"/>
          <w:szCs w:val="32"/>
        </w:rPr>
      </w:pPr>
      <w:r>
        <w:rPr>
          <w:rFonts w:hint="eastAsia" w:ascii="仿宋_GB2312" w:hAnsi="仿宋_GB2312" w:cs="仿宋_GB2312"/>
          <w:szCs w:val="32"/>
        </w:rPr>
        <w:t>（一）向设计单位提供《报告书》和本批复文件，确保项目设计按照环境保护设计规范要求，落实防治环境污染和生态破坏的措施。</w:t>
      </w:r>
    </w:p>
    <w:p w14:paraId="1B4DD329">
      <w:pPr>
        <w:adjustRightInd w:val="0"/>
        <w:snapToGrid w:val="0"/>
        <w:spacing w:line="540" w:lineRule="exact"/>
        <w:ind w:firstLine="640" w:firstLineChars="200"/>
        <w:rPr>
          <w:rFonts w:hint="eastAsia" w:ascii="仿宋_GB2312" w:hAnsi="仿宋_GB2312" w:cs="仿宋_GB2312"/>
          <w:szCs w:val="32"/>
        </w:rPr>
      </w:pPr>
      <w:r>
        <w:rPr>
          <w:rFonts w:hint="eastAsia" w:ascii="仿宋_GB2312" w:hAnsi="仿宋_GB2312" w:cs="仿宋_GB2312"/>
          <w:szCs w:val="32"/>
        </w:rPr>
        <w:t>（二）依据《报告书》和本批复文件，对项目建设过程中产生的废水、废气、固体废物、噪声等污染，以及因施工而对生态环境造成的破坏，采取相应的防治措施和生态环境影响减缓措施。</w:t>
      </w:r>
    </w:p>
    <w:p w14:paraId="1789EB30">
      <w:pPr>
        <w:adjustRightInd w:val="0"/>
        <w:snapToGrid w:val="0"/>
        <w:spacing w:line="560" w:lineRule="exact"/>
        <w:ind w:firstLine="640" w:firstLineChars="200"/>
        <w:rPr>
          <w:rFonts w:hint="eastAsia" w:ascii="仿宋_GB2312" w:hAnsi="仿宋_GB2312" w:cs="仿宋_GB2312"/>
          <w:szCs w:val="32"/>
        </w:rPr>
      </w:pPr>
      <w:r>
        <w:rPr>
          <w:rFonts w:hint="eastAsia" w:ascii="仿宋_GB2312" w:hAnsi="仿宋_GB2312" w:cs="仿宋_GB2312"/>
          <w:szCs w:val="32"/>
        </w:rPr>
        <w:t>（三）项目运行时，外排污染物应满足如下要求：</w:t>
      </w:r>
    </w:p>
    <w:p w14:paraId="2B5DE548">
      <w:pPr>
        <w:adjustRightInd w:val="0"/>
        <w:snapToGrid w:val="0"/>
        <w:spacing w:line="560" w:lineRule="exact"/>
        <w:ind w:firstLine="640" w:firstLineChars="200"/>
        <w:rPr>
          <w:rFonts w:hint="eastAsia" w:ascii="仿宋_GB2312" w:hAnsi="仿宋_GB2312" w:cs="仿宋_GB2312"/>
          <w:szCs w:val="32"/>
        </w:rPr>
      </w:pPr>
      <w:r>
        <w:rPr>
          <w:rFonts w:hint="eastAsia" w:ascii="仿宋_GB2312" w:hAnsi="仿宋_GB2312" w:cs="仿宋_GB2312"/>
          <w:szCs w:val="32"/>
        </w:rPr>
        <w:t>1.废气：项目应采取合理措施，加强废气的收集和处理，减少生产过程中的无组织废气排放。各项废气经处理后须满足</w:t>
      </w:r>
      <w:r>
        <w:rPr>
          <w:rFonts w:ascii="Times New Roman" w:hAnsi="Times New Roman"/>
          <w:szCs w:val="32"/>
        </w:rPr>
        <w:t>《无机化学工业污染物排放标</w:t>
      </w:r>
      <w:r>
        <w:rPr>
          <w:rFonts w:ascii="仿宋_GB2312" w:hAnsi="仿宋_GB2312" w:cs="仿宋_GB2312"/>
          <w:szCs w:val="32"/>
        </w:rPr>
        <w:t>准》</w:t>
      </w:r>
      <w:r>
        <w:rPr>
          <w:rFonts w:hint="eastAsia" w:ascii="仿宋_GB2312" w:hAnsi="仿宋_GB2312" w:cs="仿宋_GB2312"/>
          <w:szCs w:val="32"/>
          <w:lang w:eastAsia="zh-CN"/>
        </w:rPr>
        <w:t>（</w:t>
      </w:r>
      <w:r>
        <w:rPr>
          <w:rFonts w:ascii="仿宋_GB2312" w:hAnsi="仿宋_GB2312" w:cs="仿宋_GB2312"/>
          <w:szCs w:val="32"/>
        </w:rPr>
        <w:t>GB31573-2015</w:t>
      </w:r>
      <w:r>
        <w:rPr>
          <w:rFonts w:hint="eastAsia" w:ascii="仿宋_GB2312" w:hAnsi="仿宋_GB2312" w:cs="仿宋_GB2312"/>
          <w:szCs w:val="32"/>
          <w:lang w:eastAsia="zh-CN"/>
        </w:rPr>
        <w:t>）</w:t>
      </w:r>
      <w:r>
        <w:rPr>
          <w:rFonts w:hint="eastAsia" w:ascii="仿宋_GB2312" w:hAnsi="仿宋_GB2312" w:cs="仿宋_GB2312"/>
          <w:szCs w:val="32"/>
        </w:rPr>
        <w:t>、《工业炉窑大气污染物排放标准》（DB41/1066-2020）、《大气污染物综合排放标准》（GB16297-1996）。</w:t>
      </w:r>
    </w:p>
    <w:p w14:paraId="67A6E7E6">
      <w:pPr>
        <w:adjustRightInd w:val="0"/>
        <w:snapToGrid w:val="0"/>
        <w:spacing w:line="560" w:lineRule="exact"/>
        <w:ind w:firstLine="640" w:firstLineChars="200"/>
        <w:rPr>
          <w:rFonts w:hint="eastAsia" w:ascii="仿宋_GB2312" w:hAnsi="仿宋_GB2312" w:cs="仿宋_GB2312"/>
          <w:szCs w:val="32"/>
        </w:rPr>
      </w:pPr>
      <w:r>
        <w:rPr>
          <w:rFonts w:hint="eastAsia" w:ascii="仿宋_GB2312" w:hAnsi="仿宋_GB2312" w:cs="仿宋_GB2312"/>
          <w:szCs w:val="32"/>
        </w:rPr>
        <w:t>2.废水：按照“雨污分流、清污分流、分质分类处理”的原则处理废水。</w:t>
      </w:r>
      <w:r>
        <w:rPr>
          <w:rFonts w:hint="eastAsia" w:ascii="仿宋_GB2312" w:hAnsi="仿宋_GB2312" w:cs="仿宋_GB2312"/>
          <w:szCs w:val="32"/>
          <w:highlight w:val="none"/>
        </w:rPr>
        <w:t>含硝酸钠、硝酸铵的废水经处理后全部回用于生产，不外排；含氯废水经蒸发处理后的冷凝水回用，不外排；循环水系统排污、设备及地面清洗废水、实验室化验废水送至东厂区新建的综合废水处理站集中处理，处理后全部综合利用，不得外排；生活污水送东厂区生活污水处理站处理，与制水车间清净下水</w:t>
      </w:r>
      <w:r>
        <w:rPr>
          <w:rFonts w:hint="eastAsia" w:ascii="仿宋_GB2312" w:hAnsi="仿宋_GB2312" w:cs="仿宋_GB2312"/>
          <w:szCs w:val="32"/>
          <w:highlight w:val="none"/>
          <w:lang w:eastAsia="zh-CN"/>
        </w:rPr>
        <w:t>一并</w:t>
      </w:r>
      <w:r>
        <w:rPr>
          <w:rFonts w:hint="eastAsia" w:ascii="仿宋_GB2312" w:hAnsi="仿宋_GB2312" w:cs="仿宋_GB2312"/>
          <w:szCs w:val="32"/>
          <w:highlight w:val="none"/>
        </w:rPr>
        <w:t>经厂区总排口排入济源市玉川城建污水处理厂进行深度处理。</w:t>
      </w:r>
      <w:r>
        <w:rPr>
          <w:rFonts w:hint="eastAsia" w:ascii="仿宋_GB2312" w:hAnsi="仿宋_GB2312" w:cs="仿宋_GB2312"/>
          <w:szCs w:val="32"/>
        </w:rPr>
        <w:t>厂区废水总排口出水水质须同时满足《无机化学工业污染物排放标准》（GB31573-2015）及玉川城建污水处理厂</w:t>
      </w:r>
      <w:r>
        <w:rPr>
          <w:rFonts w:hint="eastAsia" w:ascii="仿宋_GB2312" w:hAnsi="仿宋_GB2312" w:cs="仿宋_GB2312"/>
          <w:szCs w:val="32"/>
          <w:lang w:eastAsia="zh-CN"/>
        </w:rPr>
        <w:t>收水</w:t>
      </w:r>
      <w:r>
        <w:rPr>
          <w:rFonts w:hint="eastAsia" w:ascii="仿宋_GB2312" w:hAnsi="仿宋_GB2312" w:cs="仿宋_GB2312"/>
          <w:szCs w:val="32"/>
        </w:rPr>
        <w:t>水质要求，并</w:t>
      </w:r>
      <w:r>
        <w:rPr>
          <w:rFonts w:hint="eastAsia" w:ascii="仿宋_GB2312" w:hAnsi="仿宋_GB2312" w:cs="仿宋_GB2312"/>
          <w:szCs w:val="32"/>
          <w:lang w:eastAsia="zh-CN"/>
        </w:rPr>
        <w:t>与</w:t>
      </w:r>
      <w:r>
        <w:rPr>
          <w:rFonts w:hint="eastAsia" w:ascii="仿宋_GB2312" w:hAnsi="仿宋_GB2312" w:cs="仿宋_GB2312"/>
          <w:szCs w:val="32"/>
        </w:rPr>
        <w:t>现有</w:t>
      </w:r>
      <w:r>
        <w:rPr>
          <w:rFonts w:hint="eastAsia" w:ascii="仿宋_GB2312" w:hAnsi="仿宋_GB2312" w:cs="仿宋_GB2312"/>
          <w:szCs w:val="32"/>
          <w:lang w:eastAsia="zh-CN"/>
        </w:rPr>
        <w:t>工程</w:t>
      </w:r>
      <w:r>
        <w:rPr>
          <w:rFonts w:hint="eastAsia" w:ascii="仿宋_GB2312" w:hAnsi="仿宋_GB2312" w:cs="仿宋_GB2312"/>
          <w:szCs w:val="32"/>
        </w:rPr>
        <w:t>项目的排放限值，</w:t>
      </w:r>
      <w:r>
        <w:rPr>
          <w:rFonts w:hint="eastAsia" w:ascii="仿宋_GB2312" w:hAnsi="仿宋_GB2312" w:cs="仿宋_GB2312"/>
          <w:szCs w:val="32"/>
          <w:lang w:eastAsia="zh-CN"/>
        </w:rPr>
        <w:t>取严</w:t>
      </w:r>
      <w:r>
        <w:rPr>
          <w:rFonts w:hint="eastAsia" w:ascii="仿宋_GB2312" w:hAnsi="仿宋_GB2312" w:cs="仿宋_GB2312"/>
          <w:szCs w:val="32"/>
        </w:rPr>
        <w:t>执行。</w:t>
      </w:r>
    </w:p>
    <w:p w14:paraId="1495F821">
      <w:pPr>
        <w:adjustRightInd w:val="0"/>
        <w:snapToGrid w:val="0"/>
        <w:spacing w:line="560" w:lineRule="exact"/>
        <w:ind w:firstLine="640" w:firstLineChars="200"/>
        <w:rPr>
          <w:rFonts w:hint="eastAsia" w:ascii="仿宋_GB2312" w:hAnsi="仿宋_GB2312" w:cs="仿宋_GB2312"/>
          <w:szCs w:val="32"/>
        </w:rPr>
      </w:pPr>
      <w:r>
        <w:rPr>
          <w:rFonts w:hint="eastAsia" w:ascii="仿宋_GB2312" w:hAnsi="仿宋_GB2312" w:cs="仿宋_GB2312"/>
          <w:szCs w:val="32"/>
        </w:rPr>
        <w:t>3.噪声：严格落实噪声污染防治措施。项目厂界噪声须满足《工业企业厂界环境噪声排放标准》（GB12348-2008）3类标准要求。</w:t>
      </w:r>
    </w:p>
    <w:p w14:paraId="7558B525">
      <w:pPr>
        <w:spacing w:line="560" w:lineRule="exact"/>
        <w:ind w:firstLine="640" w:firstLineChars="200"/>
        <w:rPr>
          <w:rFonts w:hint="eastAsia" w:ascii="仿宋_GB2312" w:hAnsi="仿宋_GB2312" w:cs="仿宋_GB2312"/>
          <w:szCs w:val="32"/>
        </w:rPr>
      </w:pPr>
      <w:r>
        <w:rPr>
          <w:rFonts w:hint="eastAsia" w:ascii="仿宋_GB2312" w:hAnsi="仿宋_GB2312" w:cs="仿宋_GB2312"/>
          <w:szCs w:val="32"/>
        </w:rPr>
        <w:t>4.固废：按照“减量化、资源化、无害化”的原则，落实各类固体废物的收集、处置和综合利用措施,并做好日常管理台账记录。各类固体废物贮存、处置须满足《危险废物贮存污染控制标准》（GB18597-2023）等标准要求，避免对环境造成二次污染。</w:t>
      </w:r>
    </w:p>
    <w:p w14:paraId="40AEF6FA">
      <w:pPr>
        <w:adjustRightInd w:val="0"/>
        <w:snapToGrid w:val="0"/>
        <w:spacing w:line="560" w:lineRule="exact"/>
        <w:ind w:firstLine="640" w:firstLineChars="200"/>
        <w:rPr>
          <w:rFonts w:hint="eastAsia" w:ascii="仿宋_GB2312" w:hAnsi="仿宋_GB2312" w:cs="仿宋_GB2312"/>
          <w:szCs w:val="32"/>
        </w:rPr>
      </w:pPr>
      <w:r>
        <w:rPr>
          <w:rFonts w:hint="eastAsia" w:ascii="仿宋_GB2312" w:hAnsi="仿宋_GB2312" w:cs="仿宋_GB2312"/>
          <w:szCs w:val="32"/>
        </w:rPr>
        <w:t>（四）落实土壤及地下水污染防治措施，采取源头控制、分区防渗等措施，加强厂区周围土壤及地下水水质监控，严防土壤和地下水污染。</w:t>
      </w:r>
    </w:p>
    <w:p w14:paraId="645E5A2E">
      <w:pPr>
        <w:adjustRightInd w:val="0"/>
        <w:snapToGrid w:val="0"/>
        <w:spacing w:line="560" w:lineRule="exact"/>
        <w:ind w:firstLine="640" w:firstLineChars="200"/>
        <w:rPr>
          <w:rFonts w:hint="eastAsia" w:ascii="仿宋_GB2312" w:hAnsi="仿宋_GB2312" w:cs="仿宋_GB2312"/>
          <w:szCs w:val="32"/>
        </w:rPr>
      </w:pPr>
      <w:r>
        <w:rPr>
          <w:rFonts w:hint="eastAsia" w:ascii="仿宋_GB2312" w:hAnsi="仿宋_GB2312" w:cs="仿宋_GB2312"/>
          <w:szCs w:val="32"/>
        </w:rPr>
        <w:t>（五）加强环境风险管理，落实《报告书》提出的环境风险防范措施，制定环境风险及事故应急预案，加强日常管理，严防环境污染事故发生。</w:t>
      </w:r>
    </w:p>
    <w:p w14:paraId="7C47E3BD">
      <w:pPr>
        <w:adjustRightInd w:val="0"/>
        <w:snapToGrid w:val="0"/>
        <w:spacing w:line="560" w:lineRule="exact"/>
        <w:ind w:firstLine="640" w:firstLineChars="200"/>
        <w:rPr>
          <w:rFonts w:hint="eastAsia" w:ascii="仿宋_GB2312" w:hAnsi="仿宋_GB2312" w:cs="仿宋_GB2312"/>
          <w:szCs w:val="32"/>
        </w:rPr>
      </w:pPr>
      <w:r>
        <w:rPr>
          <w:rFonts w:hint="eastAsia" w:ascii="仿宋_GB2312" w:hAnsi="仿宋_GB2312" w:cs="仿宋_GB2312"/>
          <w:szCs w:val="32"/>
        </w:rPr>
        <w:t>五、落实《报告书》要求，按照重污染天气相关行业应急减排措施制定技术指南A级企业绩效分级指标进行建设和管理。</w:t>
      </w:r>
    </w:p>
    <w:p w14:paraId="15036D9F">
      <w:pPr>
        <w:adjustRightInd w:val="0"/>
        <w:snapToGrid w:val="0"/>
        <w:spacing w:line="560" w:lineRule="exact"/>
        <w:ind w:firstLine="640" w:firstLineChars="200"/>
        <w:rPr>
          <w:rFonts w:hint="eastAsia" w:ascii="仿宋_GB2312" w:hAnsi="仿宋_GB2312" w:cs="仿宋_GB2312"/>
          <w:szCs w:val="32"/>
        </w:rPr>
      </w:pPr>
      <w:r>
        <w:rPr>
          <w:rFonts w:hint="eastAsia" w:ascii="仿宋_GB2312" w:hAnsi="仿宋_GB2312" w:cs="仿宋_GB2312"/>
          <w:szCs w:val="32"/>
        </w:rPr>
        <w:t>六、按国家有关规定设置规范的污染物排放口，并设立明显标志，按要求安装污染物排放自动监测设备。严格落实《报告书》相关环境监测计划，定期对各类污染物进行监测，发布相关信息，发现问题及时采取整改措施。</w:t>
      </w:r>
    </w:p>
    <w:p w14:paraId="6FEA86C4">
      <w:pPr>
        <w:adjustRightInd w:val="0"/>
        <w:snapToGrid w:val="0"/>
        <w:spacing w:line="560" w:lineRule="exact"/>
        <w:ind w:firstLine="640" w:firstLineChars="200"/>
        <w:rPr>
          <w:rFonts w:hint="eastAsia" w:ascii="仿宋_GB2312" w:hAnsi="仿宋_GB2312" w:cs="仿宋_GB2312"/>
          <w:szCs w:val="32"/>
        </w:rPr>
      </w:pPr>
      <w:r>
        <w:rPr>
          <w:rFonts w:hint="eastAsia" w:ascii="仿宋_GB2312" w:hAnsi="仿宋_GB2312" w:cs="仿宋_GB2312"/>
          <w:szCs w:val="32"/>
        </w:rPr>
        <w:t>七、严格执行环保“三同时”制度，按要求变更排污许可证，按规定程序实施竣工环境保护验收，经验收合格后方可正式投产。</w:t>
      </w:r>
    </w:p>
    <w:p w14:paraId="37F9AAD0">
      <w:pPr>
        <w:adjustRightInd w:val="0"/>
        <w:snapToGrid w:val="0"/>
        <w:spacing w:line="540" w:lineRule="exact"/>
        <w:ind w:firstLine="640" w:firstLineChars="200"/>
        <w:rPr>
          <w:rFonts w:hint="eastAsia" w:ascii="仿宋_GB2312" w:hAnsi="仿宋_GB2312" w:cs="仿宋_GB2312"/>
          <w:szCs w:val="32"/>
        </w:rPr>
      </w:pPr>
      <w:r>
        <w:rPr>
          <w:rFonts w:hint="eastAsia" w:ascii="仿宋_GB2312" w:hAnsi="仿宋_GB2312" w:cs="仿宋_GB2312"/>
          <w:szCs w:val="32"/>
        </w:rPr>
        <w:t>八、严格按照</w:t>
      </w:r>
      <w:r>
        <w:rPr>
          <w:rFonts w:ascii="仿宋_GB2312" w:hAnsi="仿宋_GB2312" w:cs="仿宋_GB2312"/>
          <w:szCs w:val="32"/>
        </w:rPr>
        <w:t>《关于河南金利金锌有限公司医用及通信应用复合材料项目污染物总量控制指标的函》（济环总量函〔2026〕1</w:t>
      </w:r>
      <w:r>
        <w:rPr>
          <w:rFonts w:hint="eastAsia" w:ascii="仿宋_GB2312" w:hAnsi="仿宋_GB2312" w:cs="仿宋_GB2312"/>
          <w:szCs w:val="32"/>
        </w:rPr>
        <w:t>7</w:t>
      </w:r>
      <w:r>
        <w:rPr>
          <w:rFonts w:ascii="仿宋_GB2312" w:hAnsi="仿宋_GB2312" w:cs="仿宋_GB2312"/>
          <w:szCs w:val="32"/>
        </w:rPr>
        <w:t>号）</w:t>
      </w:r>
      <w:r>
        <w:rPr>
          <w:rFonts w:hint="eastAsia" w:ascii="仿宋_GB2312" w:hAnsi="仿宋_GB2312" w:cs="仿宋_GB2312"/>
          <w:szCs w:val="32"/>
        </w:rPr>
        <w:t>，落实总量控制要求。</w:t>
      </w:r>
    </w:p>
    <w:p w14:paraId="4DD54552">
      <w:pPr>
        <w:adjustRightInd w:val="0"/>
        <w:snapToGrid w:val="0"/>
        <w:spacing w:line="540" w:lineRule="exact"/>
        <w:ind w:firstLine="640" w:firstLineChars="200"/>
        <w:rPr>
          <w:rFonts w:hint="eastAsia" w:ascii="仿宋_GB2312" w:hAnsi="仿宋_GB2312" w:cs="仿宋_GB2312"/>
          <w:szCs w:val="32"/>
        </w:rPr>
      </w:pPr>
      <w:r>
        <w:rPr>
          <w:rFonts w:hint="eastAsia" w:ascii="仿宋_GB2312" w:hAnsi="仿宋_GB2312" w:cs="仿宋_GB2312"/>
          <w:szCs w:val="32"/>
        </w:rPr>
        <w:t>九、本批复有效期为5年，如该项目逾期方开工建设，其环境影响报告书应报我局重新审核。如项目建设发生重大变动，应重新进行环境影响评价。</w:t>
      </w:r>
    </w:p>
    <w:p w14:paraId="1AC58452">
      <w:pPr>
        <w:adjustRightInd w:val="0"/>
        <w:snapToGrid w:val="0"/>
        <w:spacing w:line="560" w:lineRule="exact"/>
        <w:ind w:firstLine="640" w:firstLineChars="200"/>
        <w:rPr>
          <w:rFonts w:hint="eastAsia" w:ascii="仿宋_GB2312" w:hAnsi="仿宋_GB2312" w:cs="仿宋_GB2312"/>
          <w:szCs w:val="32"/>
        </w:rPr>
      </w:pPr>
      <w:r>
        <w:rPr>
          <w:rFonts w:hint="eastAsia" w:ascii="仿宋_GB2312" w:hAnsi="仿宋_GB2312" w:cs="仿宋_GB2312"/>
          <w:szCs w:val="32"/>
        </w:rPr>
        <w:t>十、今后国家或我省颁布严于本批复污染物排放限值的新标准，届时你单位应按新的排放标准执行。</w:t>
      </w:r>
    </w:p>
    <w:p w14:paraId="57FF78CD">
      <w:pPr>
        <w:adjustRightInd w:val="0"/>
        <w:snapToGrid w:val="0"/>
        <w:spacing w:line="560" w:lineRule="exact"/>
        <w:ind w:firstLine="640" w:firstLineChars="200"/>
        <w:rPr>
          <w:rFonts w:hint="eastAsia" w:ascii="仿宋_GB2312" w:hAnsi="仿宋_GB2312" w:cs="仿宋_GB2312"/>
          <w:szCs w:val="32"/>
        </w:rPr>
      </w:pPr>
    </w:p>
    <w:p w14:paraId="3A22ECCC">
      <w:pPr>
        <w:adjustRightInd w:val="0"/>
        <w:snapToGrid w:val="0"/>
        <w:spacing w:line="560" w:lineRule="exact"/>
        <w:ind w:firstLine="640" w:firstLineChars="200"/>
        <w:rPr>
          <w:rFonts w:hint="eastAsia" w:ascii="仿宋_GB2312" w:hAnsi="仿宋_GB2312" w:cs="仿宋_GB2312"/>
          <w:szCs w:val="32"/>
        </w:rPr>
      </w:pPr>
    </w:p>
    <w:p w14:paraId="554FF440">
      <w:pPr>
        <w:adjustRightInd w:val="0"/>
        <w:snapToGrid w:val="0"/>
        <w:spacing w:line="560" w:lineRule="exact"/>
        <w:ind w:firstLine="640" w:firstLineChars="200"/>
        <w:rPr>
          <w:rFonts w:hint="eastAsia" w:ascii="仿宋_GB2312" w:hAnsi="仿宋_GB2312" w:cs="仿宋_GB2312"/>
          <w:szCs w:val="32"/>
        </w:rPr>
      </w:pPr>
    </w:p>
    <w:p w14:paraId="44653DA0">
      <w:pPr>
        <w:adjustRightInd w:val="0"/>
        <w:snapToGrid w:val="0"/>
        <w:spacing w:line="560" w:lineRule="exact"/>
        <w:jc w:val="center"/>
        <w:rPr>
          <w:rFonts w:hint="eastAsia" w:ascii="仿宋_GB2312" w:hAnsi="仿宋_GB2312" w:cs="仿宋_GB2312"/>
          <w:szCs w:val="32"/>
        </w:rPr>
      </w:pPr>
      <w:r>
        <w:rPr>
          <w:rFonts w:hint="eastAsia" w:ascii="仿宋_GB2312" w:hAnsi="仿宋_GB2312" w:cs="仿宋_GB2312"/>
          <w:szCs w:val="32"/>
        </w:rPr>
        <w:t xml:space="preserve">                    2026年</w:t>
      </w:r>
      <w:r>
        <w:rPr>
          <w:rFonts w:hint="eastAsia" w:ascii="仿宋_GB2312" w:hAnsi="仿宋_GB2312" w:cs="仿宋_GB2312"/>
          <w:color w:val="auto"/>
          <w:szCs w:val="32"/>
        </w:rPr>
        <w:t>7月</w:t>
      </w:r>
      <w:r>
        <w:rPr>
          <w:rFonts w:hint="eastAsia" w:ascii="仿宋_GB2312" w:hAnsi="仿宋_GB2312" w:cs="仿宋_GB2312"/>
          <w:color w:val="auto"/>
          <w:szCs w:val="32"/>
          <w:lang w:val="en-US" w:eastAsia="zh-CN"/>
        </w:rPr>
        <w:t>21</w:t>
      </w:r>
      <w:bookmarkStart w:id="0" w:name="_GoBack"/>
      <w:bookmarkEnd w:id="0"/>
      <w:r>
        <w:rPr>
          <w:rFonts w:hint="eastAsia" w:ascii="仿宋_GB2312" w:hAnsi="仿宋_GB2312" w:cs="仿宋_GB2312"/>
          <w:color w:val="auto"/>
          <w:szCs w:val="32"/>
        </w:rPr>
        <w:t>日</w:t>
      </w:r>
      <w:r>
        <w:rPr>
          <w:rFonts w:hint="eastAsia" w:ascii="仿宋_GB2312" w:hAnsi="仿宋_GB2312" w:cs="仿宋_GB2312"/>
          <w:color w:val="FF0000"/>
          <w:szCs w:val="32"/>
        </w:rPr>
        <w:t xml:space="preserve"> </w:t>
      </w:r>
      <w:r>
        <w:rPr>
          <w:rFonts w:hint="eastAsia" w:ascii="仿宋_GB2312" w:hAnsi="仿宋_GB2312" w:cs="仿宋_GB231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A1"/>
    <w:family w:val="auto"/>
    <w:pitch w:val="default"/>
    <w:sig w:usb0="00000000" w:usb1="00000000" w:usb2="00000009" w:usb3="00000000" w:csb0="400001FF" w:csb1="FFFF0000"/>
  </w:font>
  <w:font w:name="宋体">
    <w:altName w:val="方正书宋_GBK"/>
    <w:panose1 w:val="02010600030101010101"/>
    <w:charset w:val="88"/>
    <w:family w:val="script"/>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IyMjQ1MjJlZDQ4MGU1YzQyNGVmODhmNzVkYjRiMDQifQ=="/>
  </w:docVars>
  <w:rsids>
    <w:rsidRoot w:val="009D6731"/>
    <w:rsid w:val="000637F1"/>
    <w:rsid w:val="00184B20"/>
    <w:rsid w:val="001D4FB9"/>
    <w:rsid w:val="001E50E1"/>
    <w:rsid w:val="002756E4"/>
    <w:rsid w:val="002A178C"/>
    <w:rsid w:val="00341CC4"/>
    <w:rsid w:val="00401C6C"/>
    <w:rsid w:val="00444988"/>
    <w:rsid w:val="00476956"/>
    <w:rsid w:val="004E3540"/>
    <w:rsid w:val="005C4799"/>
    <w:rsid w:val="00621026"/>
    <w:rsid w:val="006E2B61"/>
    <w:rsid w:val="00790523"/>
    <w:rsid w:val="00835F53"/>
    <w:rsid w:val="00860500"/>
    <w:rsid w:val="00940D30"/>
    <w:rsid w:val="009D6731"/>
    <w:rsid w:val="00C12CA0"/>
    <w:rsid w:val="00C4566F"/>
    <w:rsid w:val="00DC6F7A"/>
    <w:rsid w:val="00E6566C"/>
    <w:rsid w:val="00EA21B5"/>
    <w:rsid w:val="00F26B39"/>
    <w:rsid w:val="00F361EC"/>
    <w:rsid w:val="00FD2FFE"/>
    <w:rsid w:val="00FD5695"/>
    <w:rsid w:val="00FE1028"/>
    <w:rsid w:val="00FF6065"/>
    <w:rsid w:val="01212093"/>
    <w:rsid w:val="04836323"/>
    <w:rsid w:val="04D46B3B"/>
    <w:rsid w:val="05E15E58"/>
    <w:rsid w:val="06FF3E09"/>
    <w:rsid w:val="0A960962"/>
    <w:rsid w:val="0F70383F"/>
    <w:rsid w:val="153622D5"/>
    <w:rsid w:val="1AAA57BA"/>
    <w:rsid w:val="1FC702E1"/>
    <w:rsid w:val="20C602D3"/>
    <w:rsid w:val="22072167"/>
    <w:rsid w:val="24B7634F"/>
    <w:rsid w:val="2579116C"/>
    <w:rsid w:val="257F031C"/>
    <w:rsid w:val="267BA792"/>
    <w:rsid w:val="276930F2"/>
    <w:rsid w:val="299A1C85"/>
    <w:rsid w:val="2B827534"/>
    <w:rsid w:val="2D06091B"/>
    <w:rsid w:val="31002765"/>
    <w:rsid w:val="36FE2A64"/>
    <w:rsid w:val="3BF10EB2"/>
    <w:rsid w:val="47C65C99"/>
    <w:rsid w:val="4AF63E51"/>
    <w:rsid w:val="4C3E1A99"/>
    <w:rsid w:val="4DC424F6"/>
    <w:rsid w:val="4EDE6D6B"/>
    <w:rsid w:val="508C759D"/>
    <w:rsid w:val="5BD4863C"/>
    <w:rsid w:val="5F9000D9"/>
    <w:rsid w:val="620C23B5"/>
    <w:rsid w:val="63515AC1"/>
    <w:rsid w:val="662463D7"/>
    <w:rsid w:val="66CF5AAE"/>
    <w:rsid w:val="68746DC1"/>
    <w:rsid w:val="692D6F40"/>
    <w:rsid w:val="698A44E3"/>
    <w:rsid w:val="69CB13AE"/>
    <w:rsid w:val="69D1357C"/>
    <w:rsid w:val="6A4151C4"/>
    <w:rsid w:val="6BB460C7"/>
    <w:rsid w:val="6CDD8372"/>
    <w:rsid w:val="6F254179"/>
    <w:rsid w:val="6FF39570"/>
    <w:rsid w:val="72E045F8"/>
    <w:rsid w:val="73F71988"/>
    <w:rsid w:val="75D19977"/>
    <w:rsid w:val="765D951E"/>
    <w:rsid w:val="775D48DF"/>
    <w:rsid w:val="77AD4104"/>
    <w:rsid w:val="78F82FF6"/>
    <w:rsid w:val="79982F8C"/>
    <w:rsid w:val="7B696311"/>
    <w:rsid w:val="7D8B6583"/>
    <w:rsid w:val="7DEA4AB5"/>
    <w:rsid w:val="AAEB4F98"/>
    <w:rsid w:val="AFED3B06"/>
    <w:rsid w:val="C87F2305"/>
    <w:rsid w:val="D7FA0409"/>
    <w:rsid w:val="D87F9C54"/>
    <w:rsid w:val="DD6FBB4B"/>
    <w:rsid w:val="DE9B6234"/>
    <w:rsid w:val="DF5F2A87"/>
    <w:rsid w:val="EECBC687"/>
    <w:rsid w:val="EF6FB903"/>
    <w:rsid w:val="F8DF557C"/>
    <w:rsid w:val="F9EFDE13"/>
    <w:rsid w:val="FB8D49CB"/>
    <w:rsid w:val="FCAD3C93"/>
    <w:rsid w:val="FFBF32AE"/>
    <w:rsid w:val="FFF46CB0"/>
    <w:rsid w:val="FFFE93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仿宋_GB2312" w:cs="Times New Roman"/>
      <w:kern w:val="2"/>
      <w:sz w:val="32"/>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semiHidden/>
    <w:qFormat/>
    <w:uiPriority w:val="0"/>
    <w:pPr>
      <w:spacing w:before="120"/>
    </w:pPr>
    <w:rPr>
      <w:rFonts w:ascii="Arial" w:hAnsi="Arial" w:cs="Arial"/>
      <w:sz w:val="24"/>
    </w:rPr>
  </w:style>
  <w:style w:type="paragraph" w:styleId="3">
    <w:name w:val="Body Text"/>
    <w:basedOn w:val="1"/>
    <w:link w:val="13"/>
    <w:qFormat/>
    <w:uiPriority w:val="0"/>
    <w:pPr>
      <w:spacing w:after="120"/>
    </w:pPr>
  </w:style>
  <w:style w:type="paragraph" w:styleId="4">
    <w:name w:val="Plain Text"/>
    <w:basedOn w:val="1"/>
    <w:qFormat/>
    <w:uiPriority w:val="0"/>
    <w:rPr>
      <w:rFonts w:hAnsi="Courier New" w:cs="Courier New"/>
      <w:szCs w:val="21"/>
    </w:rPr>
  </w:style>
  <w:style w:type="paragraph" w:styleId="5">
    <w:name w:val="Body Text Indent 2"/>
    <w:basedOn w:val="1"/>
    <w:next w:val="1"/>
    <w:unhideWhenUsed/>
    <w:qFormat/>
    <w:uiPriority w:val="99"/>
    <w:pPr>
      <w:spacing w:after="120" w:line="480" w:lineRule="auto"/>
      <w:ind w:left="420" w:leftChars="200"/>
    </w:pPr>
  </w:style>
  <w:style w:type="paragraph" w:styleId="6">
    <w:name w:val="footer"/>
    <w:basedOn w:val="1"/>
    <w:link w:val="12"/>
    <w:qFormat/>
    <w:uiPriority w:val="0"/>
    <w:pPr>
      <w:tabs>
        <w:tab w:val="center" w:pos="4153"/>
        <w:tab w:val="right" w:pos="8306"/>
      </w:tabs>
      <w:snapToGrid w:val="0"/>
      <w:jc w:val="left"/>
    </w:pPr>
    <w:rPr>
      <w:sz w:val="18"/>
      <w:szCs w:val="18"/>
    </w:rPr>
  </w:style>
  <w:style w:type="paragraph" w:styleId="7">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eastAsia="宋体" w:cs="宋体"/>
      <w:kern w:val="0"/>
      <w:sz w:val="24"/>
    </w:rPr>
  </w:style>
  <w:style w:type="character" w:customStyle="1" w:styleId="11">
    <w:name w:val="页眉 字符"/>
    <w:basedOn w:val="10"/>
    <w:link w:val="7"/>
    <w:qFormat/>
    <w:uiPriority w:val="0"/>
    <w:rPr>
      <w:rFonts w:ascii="宋体" w:hAnsi="宋体" w:eastAsia="仿宋_GB2312" w:cs="Times New Roman"/>
      <w:kern w:val="2"/>
      <w:sz w:val="18"/>
      <w:szCs w:val="18"/>
    </w:rPr>
  </w:style>
  <w:style w:type="character" w:customStyle="1" w:styleId="12">
    <w:name w:val="页脚 字符"/>
    <w:basedOn w:val="10"/>
    <w:link w:val="6"/>
    <w:qFormat/>
    <w:uiPriority w:val="0"/>
    <w:rPr>
      <w:rFonts w:ascii="宋体" w:hAnsi="宋体" w:eastAsia="仿宋_GB2312" w:cs="Times New Roman"/>
      <w:kern w:val="2"/>
      <w:sz w:val="18"/>
      <w:szCs w:val="18"/>
    </w:rPr>
  </w:style>
  <w:style w:type="character" w:customStyle="1" w:styleId="13">
    <w:name w:val="正文文本 字符"/>
    <w:basedOn w:val="10"/>
    <w:link w:val="3"/>
    <w:qFormat/>
    <w:uiPriority w:val="0"/>
    <w:rPr>
      <w:rFonts w:ascii="宋体" w:hAnsi="宋体" w:eastAsia="仿宋_GB2312" w:cs="Times New Roman"/>
      <w:kern w:val="2"/>
      <w:sz w:val="32"/>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316</Words>
  <Characters>1804</Characters>
  <Lines>15</Lines>
  <Paragraphs>4</Paragraphs>
  <TotalTime>37</TotalTime>
  <ScaleCrop>false</ScaleCrop>
  <LinksUpToDate>false</LinksUpToDate>
  <CharactersWithSpaces>2116</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2026-07-16T15:42:00Z</dcterms:created>
  <dc:creator>jia</dc:creator>
  <cp:lastModifiedBy>greatwall</cp:lastModifiedBy>
  <cp:lastPrinted>2026-07-21T17:54:00Z</cp:lastPrinted>
  <dcterms:modified xsi:type="dcterms:W3CDTF">2026-07-21T09:21:16Z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5C74353C58DA4B739876D2B8D0F6F022</vt:lpwstr>
  </property>
  <property fmtid="{D5CDD505-2E9C-101B-9397-08002B2CF9AE}" pid="4" name="KSOTemplateDocerSaveRecord">
    <vt:lpwstr>eyJoZGlkIjoiMmIyMjQ1MjJlZDQ4MGU1YzQyNGVmODhmNzVkYjRiMDQiLCJ1c2VySWQiOiI5NzA2ODkwMTYifQ==</vt:lpwstr>
  </property>
</Properties>
</file>