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5A72A">
      <w:pPr>
        <w:spacing w:line="560" w:lineRule="exact"/>
        <w:ind w:firstLine="640" w:firstLineChars="200"/>
        <w:rPr>
          <w:rFonts w:hint="eastAsia" w:ascii="仿宋_GB2312" w:hAnsi="仿宋_GB2312" w:cs="仿宋_GB2312"/>
          <w:szCs w:val="32"/>
        </w:rPr>
      </w:pPr>
    </w:p>
    <w:p w14:paraId="7104D5D9">
      <w:pPr>
        <w:spacing w:line="560" w:lineRule="exact"/>
        <w:ind w:firstLine="640" w:firstLineChars="200"/>
        <w:rPr>
          <w:rFonts w:hint="eastAsia" w:ascii="仿宋_GB2312" w:hAnsi="仿宋_GB2312" w:cs="仿宋_GB2312"/>
          <w:szCs w:val="32"/>
        </w:rPr>
      </w:pPr>
    </w:p>
    <w:p w14:paraId="495D386A">
      <w:pPr>
        <w:spacing w:line="560" w:lineRule="exact"/>
        <w:ind w:firstLine="640" w:firstLineChars="200"/>
        <w:rPr>
          <w:rFonts w:hint="eastAsia" w:ascii="仿宋_GB2312" w:hAnsi="仿宋_GB2312" w:cs="仿宋_GB2312"/>
          <w:szCs w:val="32"/>
        </w:rPr>
      </w:pPr>
    </w:p>
    <w:p w14:paraId="3CAD5E72">
      <w:pPr>
        <w:spacing w:line="560" w:lineRule="exact"/>
        <w:ind w:firstLine="640" w:firstLineChars="200"/>
        <w:rPr>
          <w:rFonts w:hint="eastAsia" w:ascii="仿宋_GB2312" w:hAnsi="仿宋_GB2312" w:cs="仿宋_GB2312"/>
          <w:szCs w:val="32"/>
        </w:rPr>
      </w:pPr>
    </w:p>
    <w:p w14:paraId="3B604F61">
      <w:pPr>
        <w:spacing w:line="560" w:lineRule="exact"/>
        <w:ind w:firstLine="640" w:firstLineChars="200"/>
        <w:rPr>
          <w:rFonts w:hint="eastAsia" w:ascii="仿宋_GB2312" w:hAnsi="仿宋_GB2312" w:cs="仿宋_GB2312"/>
          <w:szCs w:val="32"/>
        </w:rPr>
      </w:pPr>
    </w:p>
    <w:p w14:paraId="3FD71786">
      <w:pPr>
        <w:wordWrap w:val="0"/>
        <w:spacing w:line="560" w:lineRule="exact"/>
        <w:jc w:val="right"/>
        <w:rPr>
          <w:rFonts w:hint="eastAsia" w:ascii="仿宋_GB2312" w:hAnsi="仿宋_GB2312" w:cs="仿宋_GB2312"/>
          <w:szCs w:val="32"/>
        </w:rPr>
      </w:pPr>
      <w:r>
        <w:rPr>
          <w:rFonts w:ascii="仿宋_GB2312" w:hAnsi="仿宋_GB2312" w:cs="仿宋_GB2312"/>
          <w:szCs w:val="32"/>
        </w:rPr>
        <w:t>济环审〔202</w:t>
      </w:r>
      <w:r>
        <w:rPr>
          <w:rFonts w:hint="eastAsia" w:ascii="仿宋_GB2312" w:hAnsi="仿宋_GB2312" w:cs="仿宋_GB2312"/>
          <w:szCs w:val="32"/>
        </w:rPr>
        <w:t>6</w:t>
      </w:r>
      <w:r>
        <w:rPr>
          <w:rFonts w:ascii="仿宋_GB2312" w:hAnsi="仿宋_GB2312" w:cs="仿宋_GB2312"/>
          <w:szCs w:val="32"/>
        </w:rPr>
        <w:t>〕</w:t>
      </w:r>
      <w:r>
        <w:rPr>
          <w:rFonts w:hint="eastAsia" w:ascii="仿宋_GB2312" w:hAnsi="仿宋_GB2312" w:cs="仿宋_GB2312"/>
          <w:color w:val="auto"/>
          <w:szCs w:val="32"/>
          <w:highlight w:val="none"/>
          <w:lang w:val="en-US" w:eastAsia="zh-CN"/>
        </w:rPr>
        <w:t>7</w:t>
      </w:r>
      <w:r>
        <w:rPr>
          <w:rFonts w:ascii="仿宋_GB2312" w:hAnsi="仿宋_GB2312" w:cs="仿宋_GB2312"/>
          <w:szCs w:val="32"/>
          <w:highlight w:val="none"/>
        </w:rPr>
        <w:t>号</w:t>
      </w:r>
    </w:p>
    <w:p w14:paraId="456A5B5E">
      <w:pPr>
        <w:keepNext w:val="0"/>
        <w:keepLines w:val="0"/>
        <w:pageBreakBefore w:val="0"/>
        <w:widowControl/>
        <w:kinsoku/>
        <w:wordWrap/>
        <w:overflowPunct/>
        <w:topLinePunct w:val="0"/>
        <w:autoSpaceDE/>
        <w:autoSpaceDN/>
        <w:bidi w:val="0"/>
        <w:spacing w:line="600" w:lineRule="exact"/>
        <w:jc w:val="center"/>
        <w:textAlignment w:val="auto"/>
        <w:rPr>
          <w:rFonts w:hint="eastAsia" w:ascii="方正小标宋简体" w:hAnsi="方正小标宋简体" w:eastAsia="方正小标宋简体" w:cs="方正小标宋简体"/>
          <w:color w:val="auto"/>
          <w:kern w:val="0"/>
          <w:sz w:val="44"/>
          <w:szCs w:val="44"/>
        </w:rPr>
      </w:pPr>
    </w:p>
    <w:p w14:paraId="0BF7021B">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济源市生态环境局</w:t>
      </w:r>
    </w:p>
    <w:p w14:paraId="387A48E5">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关于河南豫光金铅股份有限公司</w:t>
      </w:r>
    </w:p>
    <w:p w14:paraId="0DC13845">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kern w:val="0"/>
          <w:sz w:val="44"/>
          <w:szCs w:val="44"/>
        </w:rPr>
      </w:pPr>
      <w:r>
        <w:rPr>
          <w:rFonts w:hint="eastAsia" w:ascii="方正小标宋简体" w:hAnsi="方正小标宋简体" w:eastAsia="方正小标宋简体" w:cs="方正小标宋简体"/>
          <w:kern w:val="0"/>
          <w:sz w:val="44"/>
          <w:szCs w:val="44"/>
        </w:rPr>
        <w:t>半导体光电</w:t>
      </w:r>
      <w:r>
        <w:rPr>
          <w:rFonts w:hint="eastAsia" w:ascii="方正小标宋简体" w:hAnsi="方正小标宋简体" w:eastAsia="方正小标宋简体" w:cs="方正小标宋简体"/>
          <w:color w:val="auto"/>
          <w:kern w:val="0"/>
          <w:sz w:val="44"/>
          <w:szCs w:val="44"/>
        </w:rPr>
        <w:t>新材料科创产业化基地项目</w:t>
      </w:r>
    </w:p>
    <w:p w14:paraId="31A688D3">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kern w:val="0"/>
          <w:sz w:val="44"/>
          <w:szCs w:val="44"/>
        </w:rPr>
      </w:pPr>
      <w:r>
        <w:rPr>
          <w:rFonts w:hint="eastAsia" w:ascii="方正小标宋简体" w:hAnsi="方正小标宋简体" w:eastAsia="方正小标宋简体" w:cs="方正小标宋简体"/>
          <w:color w:val="auto"/>
          <w:kern w:val="0"/>
          <w:sz w:val="44"/>
          <w:szCs w:val="44"/>
          <w:lang w:val="en-US" w:eastAsia="zh-CN"/>
        </w:rPr>
        <w:t>生态</w:t>
      </w:r>
      <w:r>
        <w:rPr>
          <w:rFonts w:hint="eastAsia" w:ascii="方正小标宋简体" w:hAnsi="方正小标宋简体" w:eastAsia="方正小标宋简体" w:cs="方正小标宋简体"/>
          <w:color w:val="auto"/>
          <w:kern w:val="0"/>
          <w:sz w:val="44"/>
          <w:szCs w:val="44"/>
        </w:rPr>
        <w:t>环境影响报告书的批复</w:t>
      </w:r>
    </w:p>
    <w:p w14:paraId="0821729F">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color w:val="auto"/>
          <w:szCs w:val="32"/>
        </w:rPr>
      </w:pPr>
    </w:p>
    <w:p w14:paraId="07A05F0E">
      <w:pPr>
        <w:keepNext w:val="0"/>
        <w:keepLines w:val="0"/>
        <w:pageBreakBefore w:val="0"/>
        <w:widowControl w:val="0"/>
        <w:kinsoku/>
        <w:wordWrap/>
        <w:overflowPunct/>
        <w:topLinePunct w:val="0"/>
        <w:autoSpaceDE/>
        <w:autoSpaceDN/>
        <w:bidi w:val="0"/>
        <w:adjustRightInd w:val="0"/>
        <w:snapToGrid w:val="0"/>
        <w:spacing w:line="550" w:lineRule="exact"/>
        <w:textAlignment w:val="auto"/>
        <w:rPr>
          <w:rFonts w:hint="eastAsia" w:ascii="仿宋_GB2312" w:hAnsi="仿宋_GB2312" w:cs="仿宋_GB2312"/>
          <w:color w:val="auto"/>
          <w:szCs w:val="32"/>
        </w:rPr>
      </w:pPr>
      <w:r>
        <w:rPr>
          <w:rFonts w:hint="eastAsia" w:ascii="仿宋_GB2312" w:hAnsi="仿宋_GB2312" w:cs="仿宋_GB2312"/>
          <w:color w:val="auto"/>
          <w:szCs w:val="32"/>
        </w:rPr>
        <w:t>河南豫光金铅股份有限公司：</w:t>
      </w:r>
    </w:p>
    <w:p w14:paraId="01D109D5">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ascii="仿宋_GB2312" w:hAnsi="仿宋_GB2312" w:cs="仿宋_GB2312"/>
          <w:szCs w:val="32"/>
        </w:rPr>
      </w:pPr>
      <w:r>
        <w:rPr>
          <w:rFonts w:hint="eastAsia" w:ascii="仿宋_GB2312" w:hAnsi="仿宋_GB2312" w:cs="仿宋_GB2312"/>
          <w:color w:val="auto"/>
          <w:szCs w:val="32"/>
        </w:rPr>
        <w:t>你单位（统一社会信用代码：9141000071917196XY）报送的由中色科技股份有限公司</w:t>
      </w:r>
      <w:r>
        <w:rPr>
          <w:rFonts w:hint="eastAsia" w:ascii="仿宋_GB2312" w:hAnsi="仿宋_GB2312" w:cs="仿宋_GB2312"/>
          <w:color w:val="auto"/>
          <w:szCs w:val="32"/>
          <w:lang w:val="en-US" w:eastAsia="zh-CN"/>
        </w:rPr>
        <w:t>石端晓</w:t>
      </w:r>
      <w:r>
        <w:rPr>
          <w:rFonts w:hint="eastAsia" w:ascii="仿宋_GB2312" w:hAnsi="仿宋_GB2312" w:cs="仿宋_GB2312"/>
          <w:color w:val="auto"/>
          <w:szCs w:val="32"/>
        </w:rPr>
        <w:t>主持编制的《河南豫光金铅股份有限公司半导体光电新材料科创产业化基地项目</w:t>
      </w:r>
      <w:r>
        <w:rPr>
          <w:rFonts w:hint="eastAsia" w:ascii="仿宋_GB2312" w:hAnsi="仿宋_GB2312" w:cs="仿宋_GB2312"/>
          <w:color w:val="auto"/>
          <w:szCs w:val="32"/>
          <w:lang w:val="en-US" w:eastAsia="zh-CN"/>
        </w:rPr>
        <w:t>生态</w:t>
      </w:r>
      <w:r>
        <w:rPr>
          <w:rFonts w:hint="eastAsia" w:ascii="仿宋_GB2312" w:hAnsi="仿宋_GB2312" w:cs="仿宋_GB2312"/>
          <w:color w:val="auto"/>
          <w:szCs w:val="32"/>
        </w:rPr>
        <w:t>环境影响报告书》（以下简称《报告书》）及行政审批申请等资料收悉，项目环评审批事项已在我局网站公示期满。根据《中华人民共和国生态环境法典》《中华人民共和国行政许可法》《建设项目环境保护管理条例》等</w:t>
      </w:r>
      <w:r>
        <w:rPr>
          <w:rFonts w:hint="eastAsia" w:ascii="仿宋_GB2312" w:hAnsi="仿宋_GB2312" w:cs="仿宋_GB2312"/>
          <w:szCs w:val="32"/>
        </w:rPr>
        <w:t>法律法规，经研究，批复如下：</w:t>
      </w:r>
    </w:p>
    <w:p w14:paraId="5A51E396">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highlight w:val="none"/>
        </w:rPr>
      </w:pPr>
      <w:r>
        <w:rPr>
          <w:rFonts w:hint="eastAsia" w:ascii="仿宋_GB2312" w:hAnsi="仿宋_GB2312" w:cs="仿宋_GB2312"/>
          <w:szCs w:val="32"/>
          <w:highlight w:val="none"/>
        </w:rPr>
        <w:t>一、</w:t>
      </w:r>
      <w:r>
        <w:rPr>
          <w:rFonts w:hint="eastAsia" w:ascii="仿宋_GB2312" w:hAnsi="仿宋_GB2312" w:cs="仿宋_GB2312"/>
          <w:szCs w:val="32"/>
          <w:highlight w:val="none"/>
          <w:lang w:eastAsia="zh-CN"/>
        </w:rPr>
        <w:t>本</w:t>
      </w:r>
      <w:r>
        <w:rPr>
          <w:rFonts w:hint="eastAsia" w:ascii="仿宋_GB2312" w:hAnsi="仿宋_GB2312" w:cs="仿宋_GB2312"/>
          <w:szCs w:val="32"/>
          <w:highlight w:val="none"/>
        </w:rPr>
        <w:t>项目</w:t>
      </w:r>
      <w:r>
        <w:rPr>
          <w:rFonts w:hint="eastAsia" w:ascii="仿宋_GB2312" w:hAnsi="仿宋_GB2312" w:cs="仿宋_GB2312"/>
          <w:szCs w:val="32"/>
          <w:highlight w:val="none"/>
          <w:lang w:eastAsia="zh-CN"/>
        </w:rPr>
        <w:t>选址于</w:t>
      </w:r>
      <w:r>
        <w:rPr>
          <w:rFonts w:hint="eastAsia" w:ascii="仿宋_GB2312" w:hAnsi="仿宋_GB2312" w:cs="仿宋_GB2312"/>
          <w:szCs w:val="32"/>
          <w:highlight w:val="none"/>
        </w:rPr>
        <w:t>济源高新技术产业开发区金马大道西、黄河大道南</w:t>
      </w:r>
      <w:r>
        <w:rPr>
          <w:rFonts w:hint="eastAsia" w:ascii="仿宋_GB2312" w:hAnsi="仿宋_GB2312" w:cs="仿宋_GB2312"/>
          <w:szCs w:val="32"/>
          <w:highlight w:val="none"/>
          <w:lang w:eastAsia="zh-CN"/>
        </w:rPr>
        <w:t>，属于</w:t>
      </w:r>
      <w:r>
        <w:rPr>
          <w:rFonts w:hint="eastAsia" w:ascii="仿宋_GB2312" w:hAnsi="仿宋_GB2312" w:cs="仿宋_GB2312"/>
          <w:szCs w:val="32"/>
          <w:highlight w:val="none"/>
          <w:lang w:val="en-US" w:eastAsia="zh-CN"/>
        </w:rPr>
        <w:t>新建项目。项目以含铟渣、精炼碲渣、贵冶碲渣、沉碲渣等危险废物为原料，建设</w:t>
      </w:r>
      <w:r>
        <w:rPr>
          <w:rFonts w:hint="eastAsia" w:ascii="仿宋_GB2312" w:hAnsi="仿宋_GB2312" w:cs="仿宋_GB2312"/>
          <w:szCs w:val="32"/>
          <w:highlight w:val="none"/>
        </w:rPr>
        <w:t>铟回收系统、碲回收系统</w:t>
      </w:r>
      <w:r>
        <w:rPr>
          <w:rFonts w:hint="eastAsia" w:ascii="仿宋_GB2312" w:hAnsi="仿宋_GB2312" w:cs="仿宋_GB2312"/>
          <w:szCs w:val="32"/>
          <w:highlight w:val="none"/>
          <w:lang w:eastAsia="zh-CN"/>
        </w:rPr>
        <w:t>，</w:t>
      </w:r>
      <w:r>
        <w:rPr>
          <w:rFonts w:hint="eastAsia" w:ascii="仿宋_GB2312" w:hAnsi="仿宋_GB2312" w:cs="仿宋_GB2312"/>
          <w:szCs w:val="32"/>
          <w:highlight w:val="none"/>
          <w:lang w:val="en-US" w:eastAsia="zh-CN"/>
        </w:rPr>
        <w:t>并建设</w:t>
      </w:r>
      <w:r>
        <w:rPr>
          <w:rFonts w:hint="eastAsia" w:ascii="仿宋_GB2312" w:hAnsi="仿宋_GB2312" w:cs="仿宋_GB2312"/>
          <w:szCs w:val="32"/>
          <w:highlight w:val="none"/>
        </w:rPr>
        <w:t>半导体光电新材料生产系统</w:t>
      </w:r>
      <w:r>
        <w:rPr>
          <w:rFonts w:hint="eastAsia" w:ascii="仿宋_GB2312" w:hAnsi="仿宋_GB2312" w:cs="仿宋_GB2312"/>
          <w:szCs w:val="32"/>
          <w:highlight w:val="none"/>
          <w:lang w:eastAsia="zh-CN"/>
        </w:rPr>
        <w:t>。</w:t>
      </w:r>
      <w:r>
        <w:rPr>
          <w:rFonts w:hint="eastAsia" w:ascii="仿宋_GB2312" w:hAnsi="仿宋_GB2312" w:cs="仿宋_GB2312"/>
          <w:szCs w:val="32"/>
          <w:highlight w:val="none"/>
          <w:lang w:val="en-US" w:eastAsia="zh-CN"/>
        </w:rPr>
        <w:t>项目主要生产</w:t>
      </w:r>
      <w:r>
        <w:rPr>
          <w:rFonts w:hint="eastAsia" w:ascii="仿宋_GB2312" w:hAnsi="仿宋_GB2312" w:cs="仿宋_GB2312"/>
          <w:szCs w:val="32"/>
          <w:highlight w:val="none"/>
        </w:rPr>
        <w:t>设备有真空蒸馏炉、</w:t>
      </w:r>
      <w:r>
        <w:rPr>
          <w:rFonts w:hint="eastAsia" w:ascii="仿宋_GB2312" w:hAnsi="仿宋_GB2312" w:cs="仿宋_GB2312"/>
          <w:szCs w:val="32"/>
          <w:highlight w:val="none"/>
          <w:lang w:val="en-US" w:eastAsia="zh-CN"/>
        </w:rPr>
        <w:t>区熔炉、单晶炉</w:t>
      </w:r>
      <w:r>
        <w:rPr>
          <w:rFonts w:hint="eastAsia" w:ascii="仿宋_GB2312" w:hAnsi="仿宋_GB2312" w:cs="仿宋_GB2312"/>
          <w:szCs w:val="32"/>
          <w:highlight w:val="none"/>
        </w:rPr>
        <w:t>、</w:t>
      </w:r>
      <w:r>
        <w:rPr>
          <w:rFonts w:hint="eastAsia" w:ascii="仿宋_GB2312" w:hAnsi="仿宋_GB2312" w:cs="仿宋_GB2312"/>
          <w:szCs w:val="32"/>
          <w:highlight w:val="none"/>
          <w:lang w:val="en-US" w:eastAsia="zh-CN"/>
        </w:rPr>
        <w:t>多晶炉、还原炉、</w:t>
      </w:r>
      <w:r>
        <w:rPr>
          <w:rFonts w:hint="eastAsia" w:ascii="仿宋_GB2312" w:hAnsi="仿宋_GB2312" w:cs="仿宋_GB2312"/>
          <w:szCs w:val="32"/>
          <w:highlight w:val="none"/>
        </w:rPr>
        <w:t>反应釜等。</w:t>
      </w:r>
    </w:p>
    <w:p w14:paraId="1301A422">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二、该《报告书》内容符合国家有关法律法规要求和建设项目环境管理规定，符合生态环境分区管控要求，符合所在园区规划环评要求，评价结论可信。我局批准该《报告书》，原则同意你单位按照《报告书》所列项目的建设内容和环境保护对策措施进行项目建设。</w:t>
      </w:r>
    </w:p>
    <w:p w14:paraId="365C2DA2">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三、你单位应向社会公众主动公开已经批准的《报告书》，接受相关方的垂询。</w:t>
      </w:r>
    </w:p>
    <w:p w14:paraId="6067D3AB">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四、你单位应全面落实《报告书》提出的各项环境保护措施，各项环境保护设施与主体工程同时设计、同时施工、同时投入使用，确保各项污染物达标排放。</w:t>
      </w:r>
    </w:p>
    <w:p w14:paraId="5B503967">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（一）向设计单位提供《报告书》和本批复文件，确保项目设计按照环境保护设计规范要求，落实防治环境污染和生态破坏的措施。</w:t>
      </w:r>
    </w:p>
    <w:p w14:paraId="1B4DD329">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（二）依据《报告书》和本批复文件，对项目建设过程中产生的废水、废气、固体废物、噪声等污染，以及因施工而对生态环境造成的破坏，采取相应的防治措施和生态环境影响减缓措施。</w:t>
      </w:r>
    </w:p>
    <w:p w14:paraId="1789EB30">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（三）项目运行时，外排污染物应满足如下要求：</w:t>
      </w:r>
    </w:p>
    <w:p w14:paraId="2B5DE548">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color w:val="auto"/>
          <w:szCs w:val="32"/>
        </w:rPr>
        <w:t>1.废气：项目应强化废气源头控制与全过程管理，提高废气收集效率，最大限度减少无组织排放。各项废气经处理后须满足《工业炉窑大气污染物排放标准》（DB41/1066-</w:t>
      </w:r>
      <w:r>
        <w:rPr>
          <w:rFonts w:hint="eastAsia" w:ascii="仿宋_GB2312" w:hAnsi="仿宋_GB2312" w:cs="仿宋_GB2312"/>
          <w:color w:val="auto"/>
          <w:szCs w:val="32"/>
          <w:lang w:val="en-US" w:eastAsia="zh-CN"/>
        </w:rPr>
        <w:t xml:space="preserve"> </w:t>
      </w:r>
      <w:r>
        <w:rPr>
          <w:rFonts w:hint="eastAsia" w:ascii="仿宋_GB2312" w:hAnsi="仿宋_GB2312" w:cs="仿宋_GB2312"/>
          <w:color w:val="auto"/>
          <w:szCs w:val="32"/>
        </w:rPr>
        <w:t>2020）、《大气污染物综合排放标准》（GB16297-1996）、《恶臭污染物排放标准》（GB14554-93）相关限值要求</w:t>
      </w:r>
      <w:r>
        <w:rPr>
          <w:rFonts w:hint="eastAsia" w:ascii="仿宋_GB2312" w:hAnsi="仿宋_GB2312" w:cs="仿宋_GB2312"/>
          <w:color w:val="auto"/>
          <w:szCs w:val="32"/>
          <w:lang w:eastAsia="zh-CN"/>
        </w:rPr>
        <w:t>，部分工艺废气</w:t>
      </w:r>
      <w:r>
        <w:rPr>
          <w:rFonts w:hint="eastAsia" w:ascii="仿宋_GB2312" w:hAnsi="仿宋_GB2312" w:cs="仿宋_GB2312"/>
          <w:color w:val="auto"/>
          <w:szCs w:val="32"/>
        </w:rPr>
        <w:t>参照</w:t>
      </w:r>
      <w:r>
        <w:rPr>
          <w:rFonts w:hint="eastAsia" w:ascii="仿宋_GB2312" w:hAnsi="仿宋_GB2312" w:cs="仿宋_GB2312"/>
          <w:color w:val="auto"/>
          <w:szCs w:val="32"/>
          <w:lang w:val="en-US" w:eastAsia="zh-CN"/>
        </w:rPr>
        <w:t>执行</w:t>
      </w:r>
      <w:r>
        <w:rPr>
          <w:rFonts w:hint="eastAsia" w:ascii="仿宋_GB2312" w:hAnsi="仿宋_GB2312" w:cs="仿宋_GB2312"/>
          <w:color w:val="auto"/>
          <w:szCs w:val="32"/>
        </w:rPr>
        <w:t>《再生铜、铝、铅、锌工业污染物排放标准》（GB31574-2015）中特别排放限值。食堂油烟排放执行《餐饮业油烟污染物排放标准》（DB41/1604-2018）</w:t>
      </w:r>
      <w:r>
        <w:rPr>
          <w:rFonts w:hint="eastAsia" w:ascii="仿宋_GB2312" w:hAnsi="仿宋_GB2312" w:cs="仿宋_GB2312"/>
          <w:color w:val="auto"/>
          <w:szCs w:val="32"/>
          <w:lang w:eastAsia="zh-CN"/>
        </w:rPr>
        <w:t>。</w:t>
      </w:r>
    </w:p>
    <w:p w14:paraId="1CF3E708">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2.废水：按照“雨污分流、清污分流、分质分类处理”的原则处理废水。项目涉重生产废水</w:t>
      </w:r>
      <w:r>
        <w:rPr>
          <w:rFonts w:hint="eastAsia" w:ascii="仿宋_GB2312" w:hAnsi="仿宋_GB2312" w:cs="仿宋_GB2312"/>
          <w:szCs w:val="32"/>
          <w:lang w:eastAsia="zh-CN"/>
        </w:rPr>
        <w:t>、</w:t>
      </w:r>
      <w:r>
        <w:rPr>
          <w:rFonts w:hint="eastAsia" w:ascii="仿宋_GB2312" w:hAnsi="仿宋_GB2312" w:cs="仿宋_GB2312"/>
          <w:szCs w:val="32"/>
        </w:rPr>
        <w:t>初期雨水经酸性废水处理站处理后全部回用</w:t>
      </w:r>
      <w:r>
        <w:rPr>
          <w:rFonts w:hint="eastAsia" w:ascii="仿宋_GB2312" w:hAnsi="仿宋_GB2312" w:cs="仿宋_GB2312"/>
          <w:szCs w:val="32"/>
          <w:lang w:eastAsia="zh-CN"/>
        </w:rPr>
        <w:t>，</w:t>
      </w:r>
      <w:r>
        <w:rPr>
          <w:rFonts w:hint="eastAsia" w:ascii="仿宋_GB2312" w:hAnsi="仿宋_GB2312" w:cs="仿宋_GB2312"/>
          <w:szCs w:val="32"/>
        </w:rPr>
        <w:t>不外排</w:t>
      </w:r>
      <w:r>
        <w:rPr>
          <w:rFonts w:hint="eastAsia" w:ascii="仿宋_GB2312" w:hAnsi="仿宋_GB2312" w:cs="仿宋_GB2312"/>
          <w:szCs w:val="32"/>
          <w:lang w:eastAsia="zh-CN"/>
        </w:rPr>
        <w:t>；</w:t>
      </w:r>
      <w:r>
        <w:rPr>
          <w:rFonts w:hint="eastAsia" w:ascii="仿宋_GB2312" w:hAnsi="仿宋_GB2312" w:cs="仿宋_GB2312"/>
          <w:szCs w:val="32"/>
        </w:rPr>
        <w:t>一般生产废水经一般生产废水处理站处理达标后</w:t>
      </w:r>
      <w:r>
        <w:rPr>
          <w:rFonts w:hint="eastAsia" w:ascii="仿宋_GB2312" w:hAnsi="仿宋_GB2312" w:cs="仿宋_GB2312"/>
          <w:szCs w:val="32"/>
          <w:lang w:eastAsia="zh-CN"/>
        </w:rPr>
        <w:t>，</w:t>
      </w:r>
      <w:r>
        <w:rPr>
          <w:rFonts w:hint="eastAsia" w:ascii="仿宋_GB2312" w:hAnsi="仿宋_GB2312" w:cs="仿宋_GB2312"/>
          <w:szCs w:val="32"/>
        </w:rPr>
        <w:t>与</w:t>
      </w:r>
      <w:r>
        <w:rPr>
          <w:rFonts w:hint="eastAsia" w:ascii="仿宋_GB2312" w:hAnsi="仿宋_GB2312" w:cs="仿宋_GB2312"/>
          <w:szCs w:val="32"/>
          <w:lang w:eastAsia="zh-CN"/>
        </w:rPr>
        <w:t>经</w:t>
      </w:r>
      <w:r>
        <w:rPr>
          <w:rFonts w:hint="eastAsia" w:ascii="仿宋_GB2312" w:hAnsi="仿宋_GB2312" w:cs="仿宋_GB2312"/>
          <w:szCs w:val="32"/>
        </w:rPr>
        <w:t>生化处理后的生活污水</w:t>
      </w:r>
      <w:r>
        <w:rPr>
          <w:rFonts w:hint="eastAsia" w:ascii="仿宋_GB2312" w:hAnsi="仿宋_GB2312" w:cs="仿宋_GB2312"/>
          <w:szCs w:val="32"/>
          <w:lang w:eastAsia="zh-CN"/>
        </w:rPr>
        <w:t>一并</w:t>
      </w:r>
      <w:r>
        <w:rPr>
          <w:rFonts w:hint="eastAsia" w:ascii="仿宋_GB2312" w:hAnsi="仿宋_GB2312" w:cs="仿宋_GB2312"/>
          <w:szCs w:val="32"/>
        </w:rPr>
        <w:t>排入济源市第二污水处理厂</w:t>
      </w:r>
      <w:r>
        <w:rPr>
          <w:rFonts w:hint="eastAsia" w:ascii="仿宋_GB2312" w:hAnsi="仿宋_GB2312" w:cs="仿宋_GB2312"/>
          <w:szCs w:val="32"/>
          <w:lang w:eastAsia="zh-CN"/>
        </w:rPr>
        <w:t>。厂区总排口</w:t>
      </w:r>
      <w:r>
        <w:rPr>
          <w:rFonts w:hint="eastAsia" w:ascii="仿宋_GB2312" w:hAnsi="仿宋_GB2312" w:cs="仿宋_GB2312"/>
          <w:szCs w:val="32"/>
          <w:lang w:val="en-US" w:eastAsia="zh-CN"/>
        </w:rPr>
        <w:t>外排水质须</w:t>
      </w:r>
      <w:r>
        <w:rPr>
          <w:rFonts w:hint="eastAsia" w:ascii="仿宋_GB2312" w:hAnsi="仿宋_GB2312" w:cs="仿宋_GB2312"/>
          <w:szCs w:val="32"/>
        </w:rPr>
        <w:t>满足《电子工业水污染物排放标准》（GB39731-2020）</w:t>
      </w:r>
      <w:r>
        <w:rPr>
          <w:rFonts w:hint="eastAsia" w:ascii="仿宋_GB2312" w:hAnsi="仿宋_GB2312" w:cs="仿宋_GB2312"/>
          <w:szCs w:val="32"/>
          <w:lang w:val="en-US" w:eastAsia="zh-CN"/>
        </w:rPr>
        <w:t>及</w:t>
      </w:r>
      <w:r>
        <w:rPr>
          <w:rFonts w:hint="eastAsia" w:ascii="仿宋_GB2312" w:hAnsi="仿宋_GB2312" w:cs="仿宋_GB2312"/>
          <w:szCs w:val="32"/>
        </w:rPr>
        <w:t>济源市第二污水处理厂收水水质要求</w:t>
      </w:r>
      <w:r>
        <w:rPr>
          <w:rFonts w:hint="eastAsia" w:ascii="仿宋_GB2312" w:hAnsi="仿宋_GB2312" w:cs="仿宋_GB2312"/>
          <w:szCs w:val="32"/>
          <w:lang w:eastAsia="zh-CN"/>
        </w:rPr>
        <w:t>，同时</w:t>
      </w:r>
      <w:r>
        <w:rPr>
          <w:rFonts w:hint="eastAsia" w:ascii="仿宋_GB2312" w:hAnsi="仿宋_GB2312" w:cs="仿宋_GB2312"/>
          <w:szCs w:val="32"/>
          <w:lang w:val="en-US" w:eastAsia="zh-CN"/>
        </w:rPr>
        <w:t>参照执行</w:t>
      </w:r>
      <w:r>
        <w:rPr>
          <w:rFonts w:hint="eastAsia" w:ascii="仿宋_GB2312" w:hAnsi="仿宋_GB2312" w:cs="仿宋_GB2312"/>
          <w:szCs w:val="32"/>
        </w:rPr>
        <w:t>《污水综合排放标准》（GB8978-1996）。</w:t>
      </w:r>
    </w:p>
    <w:p w14:paraId="1495F821">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3.噪声：严格落实噪声污染防治措施。项目厂界噪声须满足《工业企业厂界环境噪声排放标准》（GB12348-2008）3类标准要求。</w:t>
      </w:r>
    </w:p>
    <w:p w14:paraId="7558B525">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4.固废：按照“减量化、资源化、无害化”的原则，落实各类固体废物的收集、处置和综合利用措施,并做好日常管理台账记录。各类固体废物贮存、</w:t>
      </w:r>
      <w:r>
        <w:rPr>
          <w:rFonts w:hint="eastAsia" w:ascii="仿宋_GB2312" w:hAnsi="仿宋_GB2312" w:cs="仿宋_GB2312"/>
          <w:color w:val="auto"/>
          <w:szCs w:val="32"/>
        </w:rPr>
        <w:t>处置须满足《中华人民共和国生态环境法典》中工业固体废物污染防治相关要求及《危险废物贮存污染控制标准》（GB18597-2023）等要求，避免对</w:t>
      </w:r>
      <w:r>
        <w:rPr>
          <w:rFonts w:hint="eastAsia" w:ascii="仿宋_GB2312" w:hAnsi="仿宋_GB2312" w:cs="仿宋_GB2312"/>
          <w:szCs w:val="32"/>
        </w:rPr>
        <w:t>环境造成二次污染。</w:t>
      </w:r>
    </w:p>
    <w:p w14:paraId="40AEF6FA">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（四）落实土壤及地下水污染防治措施，采取源头控制、分区防渗等措施，加强厂区周围土壤及地下水水质监控，严防土壤和地下水污染。</w:t>
      </w:r>
    </w:p>
    <w:p w14:paraId="645E5A2E">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（五）加强环境风险管理，落实《报告书》提出的环境风险防范措施，制定环境风险及事故应急预案，加强日常管理，严防环境污染事故发生。</w:t>
      </w:r>
    </w:p>
    <w:p w14:paraId="7C47E3BD">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五、落实《报告书》要求，按照重污染天气应急减排措施制定技术指南相关行业</w:t>
      </w:r>
      <w:r>
        <w:rPr>
          <w:rFonts w:hint="eastAsia" w:ascii="仿宋_GB2312" w:hAnsi="仿宋_GB2312" w:cs="仿宋_GB2312"/>
          <w:szCs w:val="32"/>
          <w:lang w:eastAsia="zh-CN"/>
        </w:rPr>
        <w:t>的</w:t>
      </w:r>
      <w:r>
        <w:rPr>
          <w:rFonts w:hint="eastAsia" w:ascii="仿宋_GB2312" w:hAnsi="仿宋_GB2312" w:cs="仿宋_GB2312"/>
          <w:szCs w:val="32"/>
        </w:rPr>
        <w:t>A级企业绩效分级指标进行建设和管理。</w:t>
      </w:r>
    </w:p>
    <w:p w14:paraId="15036D9F">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六、按国家有关规定设置规范的污染物排放口，并设立明显标志，按要求安装污染物排放自动监测设备。严格落实《报告书》相关环境监测计划，定期对各类污染物进行监测，发布相关信息，发现问题及时采取整改措施。</w:t>
      </w:r>
    </w:p>
    <w:p w14:paraId="6FEA86C4">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七、严格执行环保“三同时”制度，按要求</w:t>
      </w:r>
      <w:r>
        <w:rPr>
          <w:rFonts w:hint="eastAsia" w:ascii="仿宋_GB2312" w:hAnsi="仿宋_GB2312" w:cs="仿宋_GB2312"/>
          <w:szCs w:val="32"/>
          <w:lang w:val="en-US" w:eastAsia="zh-CN"/>
        </w:rPr>
        <w:t>申领</w:t>
      </w:r>
      <w:r>
        <w:rPr>
          <w:rFonts w:hint="eastAsia" w:ascii="仿宋_GB2312" w:hAnsi="仿宋_GB2312" w:cs="仿宋_GB2312"/>
          <w:szCs w:val="32"/>
        </w:rPr>
        <w:t>排污许可证，按规定程序实施竣工环境保护验收，经验收合格后方可正式投产。</w:t>
      </w:r>
    </w:p>
    <w:p w14:paraId="37F9AAD0">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八、严格按照</w:t>
      </w:r>
      <w:r>
        <w:rPr>
          <w:rFonts w:ascii="仿宋_GB2312" w:hAnsi="仿宋_GB2312" w:cs="仿宋_GB2312"/>
          <w:szCs w:val="32"/>
        </w:rPr>
        <w:t>《关于</w:t>
      </w:r>
      <w:r>
        <w:rPr>
          <w:rFonts w:hint="eastAsia" w:ascii="仿宋_GB2312" w:hAnsi="仿宋_GB2312" w:cs="仿宋_GB2312"/>
          <w:szCs w:val="32"/>
        </w:rPr>
        <w:t>河南豫光金铅股份有限公司半导体光电新材料科创产业化基地项</w:t>
      </w:r>
      <w:r>
        <w:rPr>
          <w:rFonts w:hint="eastAsia" w:ascii="仿宋_GB2312" w:hAnsi="仿宋_GB2312" w:cs="仿宋_GB2312"/>
          <w:szCs w:val="32"/>
          <w:highlight w:val="none"/>
        </w:rPr>
        <w:t>目</w:t>
      </w:r>
      <w:r>
        <w:rPr>
          <w:rFonts w:hint="eastAsia" w:ascii="仿宋_GB2312" w:hAnsi="仿宋_GB2312" w:cs="仿宋_GB2312"/>
          <w:szCs w:val="32"/>
          <w:highlight w:val="none"/>
          <w:lang w:val="en-US" w:eastAsia="zh-CN"/>
        </w:rPr>
        <w:t>主要</w:t>
      </w:r>
      <w:r>
        <w:rPr>
          <w:rFonts w:ascii="仿宋_GB2312" w:hAnsi="仿宋_GB2312" w:cs="仿宋_GB2312"/>
          <w:szCs w:val="32"/>
          <w:highlight w:val="none"/>
        </w:rPr>
        <w:t>污染物总量控制指标的函》（济环总量函〔2026〕</w:t>
      </w:r>
      <w:r>
        <w:rPr>
          <w:rFonts w:hint="eastAsia" w:ascii="仿宋_GB2312" w:hAnsi="仿宋_GB2312" w:cs="仿宋_GB2312"/>
          <w:szCs w:val="32"/>
          <w:highlight w:val="none"/>
          <w:lang w:val="en-US" w:eastAsia="zh-CN"/>
        </w:rPr>
        <w:t>20</w:t>
      </w:r>
      <w:r>
        <w:rPr>
          <w:rFonts w:ascii="仿宋_GB2312" w:hAnsi="仿宋_GB2312" w:cs="仿宋_GB2312"/>
          <w:szCs w:val="32"/>
          <w:highlight w:val="none"/>
        </w:rPr>
        <w:t>号）</w:t>
      </w:r>
      <w:r>
        <w:rPr>
          <w:rFonts w:hint="eastAsia" w:ascii="仿宋_GB2312" w:hAnsi="仿宋_GB2312" w:cs="仿宋_GB2312"/>
          <w:szCs w:val="32"/>
          <w:highlight w:val="none"/>
          <w:lang w:eastAsia="zh-CN"/>
        </w:rPr>
        <w:t>、</w:t>
      </w:r>
      <w:r>
        <w:rPr>
          <w:rFonts w:hint="eastAsia" w:ascii="仿宋_GB2312" w:hAnsi="仿宋_GB2312" w:cs="仿宋_GB2312"/>
          <w:color w:val="auto"/>
          <w:szCs w:val="32"/>
          <w:highlight w:val="none"/>
          <w:lang w:eastAsia="zh-CN"/>
        </w:rPr>
        <w:t>《关于河南豫光金铅股份有限公司半导体光电新材料科创产业化基地项目重金属总量指标审批的函》</w:t>
      </w:r>
      <w:r>
        <w:rPr>
          <w:rFonts w:hint="eastAsia" w:ascii="仿宋_GB2312" w:hAnsi="仿宋_GB2312" w:cs="仿宋_GB2312"/>
          <w:color w:val="auto"/>
          <w:szCs w:val="32"/>
        </w:rPr>
        <w:t>，落</w:t>
      </w:r>
      <w:r>
        <w:rPr>
          <w:rFonts w:hint="eastAsia" w:ascii="仿宋_GB2312" w:hAnsi="仿宋_GB2312" w:cs="仿宋_GB2312"/>
          <w:szCs w:val="32"/>
        </w:rPr>
        <w:t>实总量控制要求。</w:t>
      </w:r>
    </w:p>
    <w:p w14:paraId="4DD54552">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rPr>
        <w:t>九、本批复有效期为5年，如该项目逾期方开工建设，其环境影响报告书应报我局重新审核。如项目建设发生重大变动，应重新进行</w:t>
      </w:r>
      <w:r>
        <w:rPr>
          <w:rFonts w:hint="eastAsia" w:ascii="仿宋_GB2312" w:hAnsi="仿宋_GB2312" w:cs="仿宋_GB2312"/>
          <w:szCs w:val="32"/>
          <w:lang w:eastAsia="zh-CN"/>
        </w:rPr>
        <w:t>生态</w:t>
      </w:r>
      <w:r>
        <w:rPr>
          <w:rFonts w:hint="eastAsia" w:ascii="仿宋_GB2312" w:hAnsi="仿宋_GB2312" w:cs="仿宋_GB2312"/>
          <w:szCs w:val="32"/>
        </w:rPr>
        <w:t>环境影响评价。</w:t>
      </w:r>
    </w:p>
    <w:p w14:paraId="1AC58452">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lang w:eastAsia="zh-CN"/>
        </w:rPr>
      </w:pPr>
      <w:r>
        <w:rPr>
          <w:rFonts w:hint="eastAsia" w:ascii="仿宋_GB2312" w:hAnsi="仿宋_GB2312" w:cs="仿宋_GB2312"/>
          <w:szCs w:val="32"/>
        </w:rPr>
        <w:t>十、今后国家或我省颁布严于本批复污染物排放限值的新标准，届时你单位应按新的排放标准执行。</w:t>
      </w:r>
    </w:p>
    <w:p w14:paraId="57FF78CD">
      <w:pPr>
        <w:keepNext w:val="0"/>
        <w:keepLines w:val="0"/>
        <w:pageBreakBefore w:val="0"/>
        <w:widowControl w:val="0"/>
        <w:kinsoku/>
        <w:wordWrap/>
        <w:overflowPunct/>
        <w:topLinePunct w:val="0"/>
        <w:autoSpaceDE/>
        <w:autoSpaceDN/>
        <w:bidi w:val="0"/>
        <w:adjustRightInd w:val="0"/>
        <w:snapToGrid w:val="0"/>
        <w:spacing w:before="625" w:beforeLines="200" w:line="550" w:lineRule="exact"/>
        <w:ind w:firstLine="640" w:firstLineChars="200"/>
        <w:textAlignment w:val="auto"/>
        <w:rPr>
          <w:rFonts w:hint="eastAsia" w:ascii="仿宋_GB2312" w:hAnsi="仿宋_GB2312" w:cs="仿宋_GB2312"/>
          <w:szCs w:val="32"/>
          <w:lang w:eastAsia="zh-CN"/>
        </w:rPr>
      </w:pPr>
      <w:bookmarkStart w:id="0" w:name="_GoBack"/>
      <w:bookmarkEnd w:id="0"/>
    </w:p>
    <w:p w14:paraId="44653DA0">
      <w:pPr>
        <w:keepNext w:val="0"/>
        <w:keepLines w:val="0"/>
        <w:pageBreakBefore w:val="0"/>
        <w:widowControl w:val="0"/>
        <w:kinsoku/>
        <w:wordWrap/>
        <w:overflowPunct/>
        <w:topLinePunct w:val="0"/>
        <w:autoSpaceDE/>
        <w:autoSpaceDN/>
        <w:bidi w:val="0"/>
        <w:adjustRightInd w:val="0"/>
        <w:snapToGrid w:val="0"/>
        <w:spacing w:line="550" w:lineRule="exact"/>
        <w:ind w:firstLine="640" w:firstLineChars="200"/>
        <w:textAlignment w:val="auto"/>
        <w:rPr>
          <w:rFonts w:hint="eastAsia" w:ascii="仿宋_GB2312" w:hAnsi="仿宋_GB2312" w:cs="仿宋_GB2312"/>
          <w:szCs w:val="32"/>
        </w:rPr>
      </w:pPr>
      <w:r>
        <w:rPr>
          <w:rFonts w:hint="eastAsia" w:ascii="仿宋_GB2312" w:hAnsi="仿宋_GB2312" w:cs="仿宋_GB2312"/>
          <w:szCs w:val="32"/>
          <w:lang w:eastAsia="zh-CN"/>
        </w:rPr>
        <w:t xml:space="preserve">                    </w:t>
      </w:r>
      <w:r>
        <w:rPr>
          <w:rFonts w:hint="eastAsia" w:ascii="仿宋_GB2312" w:hAnsi="仿宋_GB2312" w:cs="仿宋_GB2312"/>
          <w:szCs w:val="32"/>
          <w:lang w:val="en-US" w:eastAsia="zh-CN"/>
        </w:rPr>
        <w:t xml:space="preserve">      </w:t>
      </w:r>
      <w:r>
        <w:rPr>
          <w:rFonts w:hint="eastAsia" w:ascii="仿宋_GB2312" w:hAnsi="仿宋_GB2312" w:cs="仿宋_GB2312"/>
          <w:szCs w:val="32"/>
          <w:lang w:eastAsia="zh-CN"/>
        </w:rPr>
        <w:t>2026年</w:t>
      </w:r>
      <w:r>
        <w:rPr>
          <w:rFonts w:hint="eastAsia" w:ascii="仿宋_GB2312" w:hAnsi="仿宋_GB2312" w:cs="仿宋_GB2312"/>
          <w:szCs w:val="32"/>
          <w:lang w:val="en-US" w:eastAsia="zh-CN"/>
        </w:rPr>
        <w:t>9</w:t>
      </w:r>
      <w:r>
        <w:rPr>
          <w:rFonts w:hint="eastAsia" w:ascii="仿宋_GB2312" w:hAnsi="仿宋_GB2312" w:cs="仿宋_GB2312"/>
          <w:szCs w:val="32"/>
          <w:lang w:eastAsia="zh-CN"/>
        </w:rPr>
        <w:t>月</w:t>
      </w:r>
      <w:r>
        <w:rPr>
          <w:rFonts w:hint="eastAsia" w:ascii="仿宋_GB2312" w:hAnsi="仿宋_GB2312" w:cs="仿宋_GB2312"/>
          <w:szCs w:val="32"/>
          <w:lang w:val="en-US" w:eastAsia="zh-CN"/>
        </w:rPr>
        <w:t>8</w:t>
      </w:r>
      <w:r>
        <w:rPr>
          <w:rFonts w:hint="eastAsia" w:ascii="仿宋_GB2312" w:hAnsi="仿宋_GB2312" w:cs="仿宋_GB2312"/>
          <w:szCs w:val="32"/>
          <w:lang w:eastAsia="zh-CN"/>
        </w:rPr>
        <w:t xml:space="preserve">日  </w:t>
      </w:r>
      <w:r>
        <w:rPr>
          <w:rFonts w:hint="eastAsia" w:ascii="仿宋_GB2312" w:hAnsi="仿宋_GB2312" w:cs="仿宋_GB231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BA"/>
    <w:family w:val="auto"/>
    <w:pitch w:val="default"/>
    <w:sig w:usb0="00000000" w:usb1="00000000" w:usb2="00000009" w:usb3="00000000" w:csb0="400001FF" w:csb1="FFFF0000"/>
  </w:font>
  <w:font w:name="宋体">
    <w:altName w:val="方正书宋_GBK"/>
    <w:panose1 w:val="02010600030101010101"/>
    <w:charset w:val="B1"/>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yMjQ1MjJlZDQ4MGU1YzQyNGVmODhmNzVkYjRiMDQifQ=="/>
  </w:docVars>
  <w:rsids>
    <w:rsidRoot w:val="009D6731"/>
    <w:rsid w:val="000637F1"/>
    <w:rsid w:val="00184B20"/>
    <w:rsid w:val="001D4FB9"/>
    <w:rsid w:val="001E50E1"/>
    <w:rsid w:val="002756E4"/>
    <w:rsid w:val="002A178C"/>
    <w:rsid w:val="00341CC4"/>
    <w:rsid w:val="00401C6C"/>
    <w:rsid w:val="00444988"/>
    <w:rsid w:val="00476956"/>
    <w:rsid w:val="004E3540"/>
    <w:rsid w:val="005C4799"/>
    <w:rsid w:val="00621026"/>
    <w:rsid w:val="006E2B61"/>
    <w:rsid w:val="00790523"/>
    <w:rsid w:val="00835F53"/>
    <w:rsid w:val="00860500"/>
    <w:rsid w:val="00940D30"/>
    <w:rsid w:val="009D6731"/>
    <w:rsid w:val="00C12CA0"/>
    <w:rsid w:val="00C4566F"/>
    <w:rsid w:val="00DC6F7A"/>
    <w:rsid w:val="00E6566C"/>
    <w:rsid w:val="00EA21B5"/>
    <w:rsid w:val="00F26B39"/>
    <w:rsid w:val="00F361EC"/>
    <w:rsid w:val="00FD2FFE"/>
    <w:rsid w:val="00FD5695"/>
    <w:rsid w:val="00FE1028"/>
    <w:rsid w:val="00FF6065"/>
    <w:rsid w:val="01212093"/>
    <w:rsid w:val="04836323"/>
    <w:rsid w:val="04D46B3B"/>
    <w:rsid w:val="050F38B9"/>
    <w:rsid w:val="05E15E58"/>
    <w:rsid w:val="06FF3E09"/>
    <w:rsid w:val="0A960962"/>
    <w:rsid w:val="0C952E30"/>
    <w:rsid w:val="0F70383F"/>
    <w:rsid w:val="153622D5"/>
    <w:rsid w:val="1AAA57BA"/>
    <w:rsid w:val="1FC702E1"/>
    <w:rsid w:val="20C602D3"/>
    <w:rsid w:val="212E47AE"/>
    <w:rsid w:val="22072167"/>
    <w:rsid w:val="24B7634F"/>
    <w:rsid w:val="2579116C"/>
    <w:rsid w:val="257F031C"/>
    <w:rsid w:val="267BA792"/>
    <w:rsid w:val="276930F2"/>
    <w:rsid w:val="299A1C85"/>
    <w:rsid w:val="2B827534"/>
    <w:rsid w:val="2D06091B"/>
    <w:rsid w:val="30B1091C"/>
    <w:rsid w:val="31002765"/>
    <w:rsid w:val="36FE2A64"/>
    <w:rsid w:val="3BF10EB2"/>
    <w:rsid w:val="47C65C99"/>
    <w:rsid w:val="4AF63E51"/>
    <w:rsid w:val="4C3E1A99"/>
    <w:rsid w:val="4DC424F6"/>
    <w:rsid w:val="4EDE6D6B"/>
    <w:rsid w:val="4F817576"/>
    <w:rsid w:val="508C759D"/>
    <w:rsid w:val="562F3851"/>
    <w:rsid w:val="5A3A08AC"/>
    <w:rsid w:val="5BD4863C"/>
    <w:rsid w:val="5F9000D9"/>
    <w:rsid w:val="620C23B5"/>
    <w:rsid w:val="63515AC1"/>
    <w:rsid w:val="662463D7"/>
    <w:rsid w:val="66CF5AAE"/>
    <w:rsid w:val="68746DC1"/>
    <w:rsid w:val="692D6F40"/>
    <w:rsid w:val="698A44E3"/>
    <w:rsid w:val="69CB13AE"/>
    <w:rsid w:val="69D1357C"/>
    <w:rsid w:val="6A4151C4"/>
    <w:rsid w:val="6BB460C7"/>
    <w:rsid w:val="6CDAE180"/>
    <w:rsid w:val="6CDD8372"/>
    <w:rsid w:val="6F254179"/>
    <w:rsid w:val="6FF39570"/>
    <w:rsid w:val="72E045F8"/>
    <w:rsid w:val="73F71988"/>
    <w:rsid w:val="75D19977"/>
    <w:rsid w:val="765D951E"/>
    <w:rsid w:val="775D48DF"/>
    <w:rsid w:val="77AD4104"/>
    <w:rsid w:val="78F82FF6"/>
    <w:rsid w:val="79982F8C"/>
    <w:rsid w:val="7B696311"/>
    <w:rsid w:val="7D8B6583"/>
    <w:rsid w:val="7DEA4AB5"/>
    <w:rsid w:val="AAEB4F98"/>
    <w:rsid w:val="AFED3B06"/>
    <w:rsid w:val="B757455A"/>
    <w:rsid w:val="C87F2305"/>
    <w:rsid w:val="D7FA0409"/>
    <w:rsid w:val="D87F9C54"/>
    <w:rsid w:val="DD6FBB4B"/>
    <w:rsid w:val="DE9B6234"/>
    <w:rsid w:val="DF5F2A87"/>
    <w:rsid w:val="EECBC687"/>
    <w:rsid w:val="EF6FB903"/>
    <w:rsid w:val="F8DF557C"/>
    <w:rsid w:val="F9EFDE13"/>
    <w:rsid w:val="FB8D49CB"/>
    <w:rsid w:val="FCAD3C93"/>
    <w:rsid w:val="FFBF32AE"/>
    <w:rsid w:val="FFC59859"/>
    <w:rsid w:val="FFF46CB0"/>
    <w:rsid w:val="FFFE9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仿宋_GB2312" w:cs="Times New Roman"/>
      <w:kern w:val="2"/>
      <w:sz w:val="32"/>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semiHidden/>
    <w:qFormat/>
    <w:uiPriority w:val="0"/>
    <w:pPr>
      <w:spacing w:before="120"/>
    </w:pPr>
    <w:rPr>
      <w:rFonts w:ascii="Arial" w:hAnsi="Arial" w:cs="Arial"/>
      <w:sz w:val="24"/>
    </w:rPr>
  </w:style>
  <w:style w:type="paragraph" w:styleId="3">
    <w:name w:val="annotation text"/>
    <w:basedOn w:val="1"/>
    <w:qFormat/>
    <w:uiPriority w:val="0"/>
    <w:pPr>
      <w:jc w:val="left"/>
    </w:pPr>
  </w:style>
  <w:style w:type="paragraph" w:styleId="4">
    <w:name w:val="Body Text"/>
    <w:basedOn w:val="1"/>
    <w:link w:val="14"/>
    <w:qFormat/>
    <w:uiPriority w:val="0"/>
    <w:pPr>
      <w:spacing w:after="120"/>
    </w:pPr>
  </w:style>
  <w:style w:type="paragraph" w:styleId="5">
    <w:name w:val="Plain Text"/>
    <w:basedOn w:val="1"/>
    <w:qFormat/>
    <w:uiPriority w:val="0"/>
    <w:rPr>
      <w:rFonts w:hAnsi="Courier New" w:cs="Courier New"/>
      <w:szCs w:val="21"/>
    </w:rPr>
  </w:style>
  <w:style w:type="paragraph" w:styleId="6">
    <w:name w:val="Body Text Indent 2"/>
    <w:basedOn w:val="1"/>
    <w:next w:val="1"/>
    <w:unhideWhenUsed/>
    <w:qFormat/>
    <w:uiPriority w:val="99"/>
    <w:pPr>
      <w:spacing w:after="120" w:line="480" w:lineRule="auto"/>
      <w:ind w:left="420" w:leftChars="200"/>
    </w:pPr>
  </w:style>
  <w:style w:type="paragraph" w:styleId="7">
    <w:name w:val="footer"/>
    <w:basedOn w:val="1"/>
    <w:link w:val="13"/>
    <w:qFormat/>
    <w:uiPriority w:val="0"/>
    <w:pPr>
      <w:tabs>
        <w:tab w:val="center" w:pos="4153"/>
        <w:tab w:val="right" w:pos="8306"/>
      </w:tabs>
      <w:snapToGrid w:val="0"/>
      <w:jc w:val="left"/>
    </w:pPr>
    <w:rPr>
      <w:sz w:val="18"/>
      <w:szCs w:val="18"/>
    </w:rPr>
  </w:style>
  <w:style w:type="paragraph" w:styleId="8">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eastAsia="宋体" w:cs="宋体"/>
      <w:kern w:val="0"/>
      <w:sz w:val="24"/>
    </w:rPr>
  </w:style>
  <w:style w:type="character" w:customStyle="1" w:styleId="12">
    <w:name w:val="页眉 字符"/>
    <w:basedOn w:val="11"/>
    <w:link w:val="8"/>
    <w:qFormat/>
    <w:uiPriority w:val="0"/>
    <w:rPr>
      <w:rFonts w:ascii="宋体" w:hAnsi="宋体" w:eastAsia="仿宋_GB2312" w:cs="Times New Roman"/>
      <w:kern w:val="2"/>
      <w:sz w:val="18"/>
      <w:szCs w:val="18"/>
    </w:rPr>
  </w:style>
  <w:style w:type="character" w:customStyle="1" w:styleId="13">
    <w:name w:val="页脚 字符"/>
    <w:basedOn w:val="11"/>
    <w:link w:val="7"/>
    <w:qFormat/>
    <w:uiPriority w:val="0"/>
    <w:rPr>
      <w:rFonts w:ascii="宋体" w:hAnsi="宋体" w:eastAsia="仿宋_GB2312" w:cs="Times New Roman"/>
      <w:kern w:val="2"/>
      <w:sz w:val="18"/>
      <w:szCs w:val="18"/>
    </w:rPr>
  </w:style>
  <w:style w:type="character" w:customStyle="1" w:styleId="14">
    <w:name w:val="正文文本 字符"/>
    <w:basedOn w:val="11"/>
    <w:link w:val="4"/>
    <w:qFormat/>
    <w:uiPriority w:val="0"/>
    <w:rPr>
      <w:rFonts w:ascii="宋体" w:hAnsi="宋体" w:eastAsia="仿宋_GB2312" w:cs="Times New Roman"/>
      <w:kern w:val="2"/>
      <w:sz w:val="32"/>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316</Words>
  <Characters>1804</Characters>
  <Lines>15</Lines>
  <Paragraphs>4</Paragraphs>
  <TotalTime>19</TotalTime>
  <ScaleCrop>false</ScaleCrop>
  <LinksUpToDate>false</LinksUpToDate>
  <CharactersWithSpaces>2116</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2026-07-17T07:42:00Z</dcterms:created>
  <dc:creator>jia</dc:creator>
  <cp:lastModifiedBy>greatwall</cp:lastModifiedBy>
  <cp:lastPrinted>2026-07-22T09:54:00Z</cp:lastPrinted>
  <dcterms:modified xsi:type="dcterms:W3CDTF">2026-09-08T08:34:15Z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5C74353C58DA4B739876D2B8D0F6F022</vt:lpwstr>
  </property>
  <property fmtid="{D5CDD505-2E9C-101B-9397-08002B2CF9AE}" pid="4" name="KSOTemplateDocerSaveRecord">
    <vt:lpwstr>eyJoZGlkIjoiMmIyMjQ1MjJlZDQ4MGU1YzQyNGVmODhmNzVkYjRiMDQiLCJ1c2VySWQiOiI5NzA2ODkwMTYifQ==</vt:lpwstr>
  </property>
</Properties>
</file>