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264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2026年09月21日10时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720"/>
        <w:textAlignment w:val="auto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0" w:firstLineChars="200"/>
        <w:textAlignment w:val="auto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- 09月20日，PM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39.9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与郑州并列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12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。09月21日1点至9点，济源市环境空气中PM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浓度均值为56微克/立方米,PM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浓度均值为40微克/立方米。</w:t>
      </w:r>
    </w:p>
    <w:p w14:paraId="166FF209">
      <w:pPr>
        <w:pStyle w:val="1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720" w:firstLine="0" w:firstLineChars="0"/>
        <w:textAlignment w:val="auto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0" w:firstLineChars="200"/>
        <w:textAlignment w:val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9月21日，零星小雨转阴天，东南风2到3级，气温16度到25度；预测日均空气质量为良，首要污染物为O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，AQI：56-84，O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-8h浓度范围为38-52微克/立方米。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9月22日，多云，偏南风2到3级，气温17度到28度；预测日均空气质量为良或轻度污染，首要污染物为O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，AQI：76-114，O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-8h浓度范围为131-175微克/立方米。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9月23日，多云转阴天，有小</w:t>
      </w:r>
      <w:bookmarkStart w:id="0" w:name="_GoBack"/>
      <w:bookmarkEnd w:id="0"/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雨或零星小雨，偏南风2到3级，气温19度到28度；预测日均空气质量为良或轻度污染，首要污染物为O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，AQI：76-114，O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-8h浓度范围为131-175微克/立方米。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9月24日，阴天，有小到中雨，东北风2到3级，气温18度到23度；预测日均空气质量以良为主，首要污染物为O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-8h浓度范围为92-122微克/立方米。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9月25日，阴天，有小雨，偏东风2到3级，气温18度到23度；预测日均空气质量为优或良，首要污染物为O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，AQI：45-67，O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-8h浓度范围为90-120微克/立方米。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9月26日，阴天，有零星小雨，偏东风2到3级，气温18度到27度；预测日均空气质量以良为主，首要污染物为O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9月27日，阴天，有小雨或零星小雨，西南风2到3级，气温19度到27度；预测日均空气质量为良，首要污染物为O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，AQI：56-84，O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 </w:t>
      </w:r>
    </w:p>
    <w:p w14:paraId="0E768EC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2" w:firstLineChars="200"/>
        <w:textAlignment w:val="auto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0" w:firstLineChars="200"/>
        <w:textAlignment w:val="auto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22-23日气温回升，臭氧轻度污染风险较大，建议相关部门加强涉VOCs 企业的监管力度；24-27日受降雨影响，空气质量以良为主。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09月21日-09月28日)空气质量形势预测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70"/>
        <w:gridCol w:w="1450"/>
        <w:gridCol w:w="1630"/>
        <w:gridCol w:w="1270"/>
        <w:gridCol w:w="1810"/>
        <w:gridCol w:w="1270"/>
      </w:tblGrid>
      <w:tr w14:paraId="09F23FF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25E9903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1C28791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66EE22C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7F5EDC8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2DDDD5A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5F8FFEF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4F3E79A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B8BB03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2026-09-21</w:t>
            </w:r>
          </w:p>
        </w:tc>
        <w:tc>
          <w:tcPr>
            <w:vAlign w:val="center"/>
          </w:tcPr>
          <w:p w14:paraId="385FDC1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56-84</w:t>
            </w:r>
          </w:p>
        </w:tc>
        <w:tc>
          <w:tcPr>
            <w:vAlign w:val="center"/>
          </w:tcPr>
          <w:p w14:paraId="2B91207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84-117</w:t>
            </w:r>
          </w:p>
        </w:tc>
        <w:tc>
          <w:tcPr>
            <w:vAlign w:val="center"/>
          </w:tcPr>
          <w:p w14:paraId="46BE862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38-52</w:t>
            </w:r>
          </w:p>
        </w:tc>
        <w:tc>
          <w:tcPr>
            <w:vAlign w:val="center"/>
          </w:tcPr>
          <w:p w14:paraId="636267D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O3,PM2.5</w:t>
            </w:r>
          </w:p>
        </w:tc>
        <w:tc>
          <w:tcPr>
            <w:shd w:val="clear" w:color="auto" w:fill="FFFF00"/>
            <w:vAlign w:val="center"/>
          </w:tcPr>
          <w:p w14:paraId="4D1476F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51794F6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7239D7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2026-09-22</w:t>
            </w:r>
          </w:p>
        </w:tc>
        <w:tc>
          <w:tcPr>
            <w:vAlign w:val="center"/>
          </w:tcPr>
          <w:p w14:paraId="6A90ED1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76-114</w:t>
            </w:r>
          </w:p>
        </w:tc>
        <w:tc>
          <w:tcPr>
            <w:vAlign w:val="center"/>
          </w:tcPr>
          <w:p w14:paraId="2A56990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131-175</w:t>
            </w:r>
          </w:p>
        </w:tc>
        <w:tc>
          <w:tcPr>
            <w:vAlign w:val="center"/>
          </w:tcPr>
          <w:p w14:paraId="1BE66A6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40-56</w:t>
            </w:r>
          </w:p>
        </w:tc>
        <w:tc>
          <w:tcPr>
            <w:vAlign w:val="center"/>
          </w:tcPr>
          <w:p w14:paraId="6F8ADE0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O3,PM2.5</w:t>
            </w:r>
          </w:p>
        </w:tc>
        <w:tc>
          <w:tcPr>
            <w:shd w:val="clear" w:color="auto" w:fill="FFC000"/>
            <w:vAlign w:val="center"/>
          </w:tcPr>
          <w:p w14:paraId="132EE1E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6B47563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22209C3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2026-09-23</w:t>
            </w:r>
          </w:p>
        </w:tc>
        <w:tc>
          <w:tcPr>
            <w:vAlign w:val="center"/>
          </w:tcPr>
          <w:p w14:paraId="30468A9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76-114</w:t>
            </w:r>
          </w:p>
        </w:tc>
        <w:tc>
          <w:tcPr>
            <w:vAlign w:val="center"/>
          </w:tcPr>
          <w:p w14:paraId="577B8CC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131-175</w:t>
            </w:r>
          </w:p>
        </w:tc>
        <w:tc>
          <w:tcPr>
            <w:vAlign w:val="center"/>
          </w:tcPr>
          <w:p w14:paraId="13252EB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36-50</w:t>
            </w:r>
          </w:p>
        </w:tc>
        <w:tc>
          <w:tcPr>
            <w:vAlign w:val="center"/>
          </w:tcPr>
          <w:p w14:paraId="02E1A97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O3,PM2.5</w:t>
            </w:r>
          </w:p>
        </w:tc>
        <w:tc>
          <w:tcPr>
            <w:shd w:val="clear" w:color="auto" w:fill="FFC000"/>
            <w:vAlign w:val="center"/>
          </w:tcPr>
          <w:p w14:paraId="58C6611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746CDCE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99A77B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2026-09-24</w:t>
            </w:r>
          </w:p>
        </w:tc>
        <w:tc>
          <w:tcPr>
            <w:vAlign w:val="center"/>
          </w:tcPr>
          <w:p w14:paraId="3B13F18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3CB7DF8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92-122</w:t>
            </w:r>
          </w:p>
        </w:tc>
        <w:tc>
          <w:tcPr>
            <w:vAlign w:val="center"/>
          </w:tcPr>
          <w:p w14:paraId="794C604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24-38</w:t>
            </w:r>
          </w:p>
        </w:tc>
        <w:tc>
          <w:tcPr>
            <w:vAlign w:val="center"/>
          </w:tcPr>
          <w:p w14:paraId="066A04B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0940A1F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1654350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931D9F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2026-09-25</w:t>
            </w:r>
          </w:p>
        </w:tc>
        <w:tc>
          <w:tcPr>
            <w:vAlign w:val="center"/>
          </w:tcPr>
          <w:p w14:paraId="1745B47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45-67</w:t>
            </w:r>
          </w:p>
        </w:tc>
        <w:tc>
          <w:tcPr>
            <w:vAlign w:val="center"/>
          </w:tcPr>
          <w:p w14:paraId="1EF6C8D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90-120</w:t>
            </w:r>
          </w:p>
        </w:tc>
        <w:tc>
          <w:tcPr>
            <w:vAlign w:val="center"/>
          </w:tcPr>
          <w:p w14:paraId="0CC8573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13-27</w:t>
            </w:r>
          </w:p>
        </w:tc>
        <w:tc>
          <w:tcPr>
            <w:vAlign w:val="center"/>
          </w:tcPr>
          <w:p w14:paraId="006ACA8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1717DDC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3152255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1440F9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2026-09-26</w:t>
            </w:r>
          </w:p>
        </w:tc>
        <w:tc>
          <w:tcPr>
            <w:vAlign w:val="center"/>
          </w:tcPr>
          <w:p w14:paraId="249624D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51159A1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5238978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22-36</w:t>
            </w:r>
          </w:p>
        </w:tc>
        <w:tc>
          <w:tcPr>
            <w:vAlign w:val="center"/>
          </w:tcPr>
          <w:p w14:paraId="1454AB7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18F2772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7EA2F7A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737ABF8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2026-09-27</w:t>
            </w:r>
          </w:p>
        </w:tc>
        <w:tc>
          <w:tcPr>
            <w:vAlign w:val="center"/>
          </w:tcPr>
          <w:p w14:paraId="74BE1F3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56-84</w:t>
            </w:r>
          </w:p>
        </w:tc>
        <w:tc>
          <w:tcPr>
            <w:vAlign w:val="center"/>
          </w:tcPr>
          <w:p w14:paraId="0737E9E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6EA9B27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38-52</w:t>
            </w:r>
          </w:p>
        </w:tc>
        <w:tc>
          <w:tcPr>
            <w:vAlign w:val="center"/>
          </w:tcPr>
          <w:p w14:paraId="13A5C42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O3,PM2.5</w:t>
            </w:r>
          </w:p>
        </w:tc>
        <w:tc>
          <w:tcPr>
            <w:shd w:val="clear" w:color="auto" w:fill="FFFF00"/>
            <w:vAlign w:val="center"/>
          </w:tcPr>
          <w:p w14:paraId="1AF3FBF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34DA266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971FE4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2026-09-28</w:t>
            </w:r>
          </w:p>
        </w:tc>
        <w:tc>
          <w:tcPr>
            <w:vAlign w:val="center"/>
          </w:tcPr>
          <w:p w14:paraId="2467285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56-84</w:t>
            </w:r>
          </w:p>
        </w:tc>
        <w:tc>
          <w:tcPr>
            <w:vAlign w:val="center"/>
          </w:tcPr>
          <w:p w14:paraId="18D5B2E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2632FE3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38-52</w:t>
            </w:r>
          </w:p>
        </w:tc>
        <w:tc>
          <w:tcPr>
            <w:vAlign w:val="center"/>
          </w:tcPr>
          <w:p w14:paraId="66B4F05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01813B4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</w:tbl>
    <w:p w14:paraId="6629B3B6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4FDE5D45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6FFF0E36"/>
    <w:rsid w:val="71ED64B5"/>
    <w:rsid w:val="72BC6363"/>
    <w:rsid w:val="73637CA8"/>
    <w:rsid w:val="746E7063"/>
    <w:rsid w:val="7BE91A3F"/>
    <w:rsid w:val="7FBFE794"/>
    <w:rsid w:val="8F7E5707"/>
    <w:rsid w:val="9DFF9247"/>
    <w:rsid w:val="C60FDF13"/>
    <w:rsid w:val="D9BD2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3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2026-09-21T10:36:29Z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