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F0F3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</w:pPr>
    </w:p>
    <w:p w14:paraId="0E1B82E5">
      <w:pPr>
        <w:spacing w:line="0" w:lineRule="atLeast"/>
        <w:ind w:right="126"/>
        <w:jc w:val="center"/>
        <w:rPr>
          <w:rFonts w:asciiTheme="minorEastAsia" w:hAnsiTheme="minorEastAsia" w:eastAsiaTheme="minorEastAsia"/>
          <w:b/>
          <w:color w:val="FF0000"/>
          <w:spacing w:val="60"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color w:val="FF0000"/>
          <w:spacing w:val="60"/>
          <w:sz w:val="72"/>
          <w:szCs w:val="72"/>
        </w:rPr>
        <w:t>济源示范区</w:t>
      </w:r>
    </w:p>
    <w:p w14:paraId="59FFD1BD">
      <w:pPr>
        <w:spacing w:line="0" w:lineRule="atLeast"/>
        <w:ind w:right="126"/>
        <w:jc w:val="center"/>
        <w:rPr>
          <w:rFonts w:hint="eastAsia" w:asciiTheme="minorEastAsia" w:hAnsiTheme="minorEastAsia" w:eastAsiaTheme="minorEastAsia"/>
          <w:b/>
          <w:position w:val="-2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  <w:lang w:val="en-US" w:eastAsia="zh-CN"/>
        </w:rPr>
        <w:t>功能区声</w:t>
      </w:r>
      <w:r>
        <w:rPr>
          <w:rFonts w:hint="eastAsia" w:asciiTheme="minorEastAsia" w:hAnsiTheme="minorEastAsia" w:eastAsiaTheme="minorEastAsia"/>
          <w:b/>
          <w:color w:val="FF0000"/>
          <w:spacing w:val="0"/>
          <w:sz w:val="72"/>
          <w:szCs w:val="72"/>
        </w:rPr>
        <w:t>环境质量月报</w:t>
      </w:r>
    </w:p>
    <w:p w14:paraId="2D55B01D">
      <w:pPr>
        <w:spacing w:line="0" w:lineRule="atLeast"/>
        <w:jc w:val="center"/>
        <w:rPr>
          <w:rFonts w:asciiTheme="minorEastAsia" w:hAnsiTheme="minorEastAsia" w:eastAsiaTheme="minorEastAsia"/>
          <w:b/>
          <w:position w:val="-2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年第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position w:val="-20"/>
          <w:sz w:val="28"/>
          <w:szCs w:val="28"/>
        </w:rPr>
        <w:t>期</w:t>
      </w:r>
    </w:p>
    <w:p w14:paraId="6A1BFF1B">
      <w:pPr>
        <w:spacing w:line="0" w:lineRule="atLeast"/>
        <w:ind w:firstLine="3269" w:firstLineChars="1163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83820</wp:posOffset>
                </wp:positionV>
                <wp:extent cx="5563870" cy="0"/>
                <wp:effectExtent l="0" t="19050" r="17780" b="190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387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8.65pt;margin-top:6.6pt;height:0pt;width:438.1pt;z-index:251662336;mso-width-relative:page;mso-height-relative:page;" filled="f" stroked="t" coordsize="21600,21600" o:gfxdata="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Vb4sbYAAAACQEAAA8AAAAAAAAAAQAgAAAAIgAAAGRycy9kb3ducmV2&#10;LnhtbFBLAQIUABQAAAAIAIdO4kDOtJyK/AEAAPIDAAAOAAAAAAAAAAEAIAAAACcBAABkcnMvZTJv&#10;RG9jLnhtbFBLBQYAAAAABgAGAFkBAACV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5AB9D79B">
      <w:pPr>
        <w:pStyle w:val="4"/>
        <w:widowControl w:val="0"/>
        <w:wordWrap w:val="0"/>
        <w:overflowPunct w:val="0"/>
        <w:spacing w:line="580" w:lineRule="exact"/>
        <w:ind w:left="0" w:leftChars="0" w:firstLine="640" w:firstLineChars="200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2月，济源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夜间达标率为86.5%，同比</w:t>
      </w:r>
      <w:r>
        <w:rPr>
          <w:rFonts w:hint="eastAsia"/>
          <w:szCs w:val="32"/>
          <w:lang w:val="en-US" w:eastAsia="zh-CN"/>
        </w:rPr>
        <w:t>上升14个百分点</w:t>
      </w:r>
      <w:r>
        <w:rPr>
          <w:rFonts w:hint="eastAsia"/>
          <w:szCs w:val="32"/>
          <w:lang w:eastAsia="zh-CN"/>
        </w:rPr>
        <w:t>；昼间达标率为89.6%，同比</w:t>
      </w:r>
      <w:r>
        <w:rPr>
          <w:rFonts w:hint="eastAsia"/>
          <w:szCs w:val="32"/>
          <w:lang w:val="en-US" w:eastAsia="zh-CN"/>
        </w:rPr>
        <w:t>上升18.5个百分点</w:t>
      </w:r>
      <w:r>
        <w:rPr>
          <w:rFonts w:hint="eastAsia"/>
          <w:szCs w:val="32"/>
          <w:lang w:eastAsia="zh-CN"/>
        </w:rPr>
        <w:t>。从夜间达标率看：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  <w:lang w:eastAsia="zh-CN"/>
        </w:rPr>
        <w:t>个功能区声环境质量自动监测站点中，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  <w:lang w:eastAsia="zh-CN"/>
        </w:rPr>
        <w:t>个站点夜间达标率低于85%。</w:t>
      </w:r>
    </w:p>
    <w:p w14:paraId="020AD6D2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1-</w:t>
      </w:r>
      <w:r>
        <w:rPr>
          <w:rFonts w:hint="eastAsia"/>
          <w:szCs w:val="32"/>
          <w:lang w:eastAsia="zh-CN"/>
        </w:rPr>
        <w:t>2月，济源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szCs w:val="32"/>
          <w:lang w:eastAsia="zh-CN"/>
        </w:rPr>
        <w:t>夜间达标率为</w:t>
      </w:r>
      <w:r>
        <w:rPr>
          <w:rFonts w:hint="eastAsia"/>
          <w:szCs w:val="32"/>
          <w:lang w:val="en-US" w:eastAsia="zh-CN"/>
        </w:rPr>
        <w:t>92.2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上升23.4个百分点</w:t>
      </w:r>
      <w:r>
        <w:rPr>
          <w:rFonts w:hint="eastAsia"/>
          <w:szCs w:val="32"/>
          <w:lang w:eastAsia="zh-CN"/>
        </w:rPr>
        <w:t>；昼间达标率为</w:t>
      </w:r>
      <w:r>
        <w:rPr>
          <w:rFonts w:hint="eastAsia"/>
          <w:szCs w:val="32"/>
          <w:lang w:val="en-US" w:eastAsia="zh-CN"/>
        </w:rPr>
        <w:t>93.1</w:t>
      </w:r>
      <w:r>
        <w:rPr>
          <w:rFonts w:hint="eastAsia"/>
          <w:szCs w:val="32"/>
          <w:lang w:eastAsia="zh-CN"/>
        </w:rPr>
        <w:t>%，同比</w:t>
      </w:r>
      <w:r>
        <w:rPr>
          <w:rFonts w:hint="eastAsia"/>
          <w:szCs w:val="32"/>
          <w:lang w:val="en-US" w:eastAsia="zh-CN"/>
        </w:rPr>
        <w:t>上升21.7个百分点</w:t>
      </w:r>
      <w:r>
        <w:rPr>
          <w:rFonts w:hint="eastAsia"/>
          <w:szCs w:val="32"/>
          <w:lang w:eastAsia="zh-CN"/>
        </w:rPr>
        <w:t>。从夜间达标率看：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  <w:lang w:eastAsia="zh-CN"/>
        </w:rPr>
        <w:t>个功能区声环境质量自动监测站点中，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  <w:lang w:eastAsia="zh-CN"/>
        </w:rPr>
        <w:t>个站点夜间达标率低于85%。</w:t>
      </w:r>
    </w:p>
    <w:p w14:paraId="58128836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eastAsia="黑体"/>
          <w:snapToGrid w:val="0"/>
          <w:szCs w:val="32"/>
          <w:lang w:val="en-US"/>
        </w:rPr>
      </w:pPr>
      <w:r>
        <w:rPr>
          <w:rFonts w:hint="eastAsia" w:eastAsia="黑体"/>
          <w:snapToGrid w:val="0"/>
          <w:szCs w:val="32"/>
        </w:rPr>
        <w:t>一、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济源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功能区声环境质量情况</w:t>
      </w:r>
    </w:p>
    <w:p w14:paraId="520FE37B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4044CF70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济</w:t>
      </w:r>
      <w:r>
        <w:rPr>
          <w:rFonts w:hint="eastAsia"/>
          <w:szCs w:val="32"/>
          <w:lang w:val="en-US" w:eastAsia="zh-CN"/>
        </w:rPr>
        <w:t>源示范区功能区声环境质量夜间达标率为86.5%，同</w:t>
      </w:r>
      <w:r>
        <w:rPr>
          <w:rFonts w:hint="eastAsia"/>
          <w:szCs w:val="32"/>
          <w:lang w:eastAsia="zh-CN"/>
        </w:rPr>
        <w:t>比</w:t>
      </w:r>
      <w:r>
        <w:rPr>
          <w:rFonts w:hint="eastAsia"/>
          <w:szCs w:val="32"/>
          <w:lang w:val="en-US" w:eastAsia="zh-CN"/>
        </w:rPr>
        <w:t>上升14个百分点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昼间达标率为89.6%，</w:t>
      </w:r>
      <w:r>
        <w:rPr>
          <w:rFonts w:hint="eastAsia"/>
          <w:szCs w:val="32"/>
          <w:lang w:val="en-US" w:eastAsia="zh-CN"/>
        </w:rPr>
        <w:t>同比上升18.5个百分点。各功能区的夜间达标情况如下：一类区：88%，同比上升16.6个百分点，二类区82.7%，同比上升0.6个百分点，三类区：98.1%，同比上升14.2个百分点，四类区80.8%，同比上升37.9个百分点。详见图1。</w:t>
      </w:r>
    </w:p>
    <w:p w14:paraId="2DD2CF34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49C02B0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38100</wp:posOffset>
            </wp:positionV>
            <wp:extent cx="5256530" cy="2581910"/>
            <wp:effectExtent l="0" t="0" r="1270" b="889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（二）1-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3483CC52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2319020</wp:posOffset>
            </wp:positionV>
            <wp:extent cx="5256530" cy="2581910"/>
            <wp:effectExtent l="0" t="0" r="1270" b="8890"/>
            <wp:wrapTopAndBottom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1-2月，济源</w:t>
      </w:r>
      <w:r>
        <w:rPr>
          <w:rFonts w:hint="eastAsia"/>
          <w:szCs w:val="32"/>
          <w:lang w:val="en-US" w:eastAsia="zh-CN"/>
        </w:rPr>
        <w:t>示范区功能区声环境质量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夜间达标率为92.2%，同比上升23.4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。昼间达标率为93.1%，同比上升21.7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。各功能区的夜间达标情况如下：一类区91.1%，同比上升26.7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，二类区90.2%，同比上升13.9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，三类区99.1%，同比上升11.8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，四类区89.3%，同比上升49.5</w:t>
      </w:r>
      <w:r>
        <w:rPr>
          <w:rFonts w:hint="eastAsia"/>
          <w:szCs w:val="32"/>
          <w:lang w:val="en-US" w:eastAsia="zh-CN"/>
        </w:rPr>
        <w:t>个百分点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，详见图2。</w:t>
      </w:r>
    </w:p>
    <w:p w14:paraId="38FC1833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2月自动监测站点声环境质量情况</w:t>
      </w:r>
    </w:p>
    <w:p w14:paraId="482E5AB4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15135A65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  <w:lang w:val="en-US" w:eastAsia="zh-CN"/>
        </w:rPr>
      </w:pPr>
      <w:r>
        <w:rPr>
          <w:rFonts w:hint="eastAsia" w:eastAsia="仿宋_GB2312" w:cs="仿宋_GB231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1943100</wp:posOffset>
            </wp:positionV>
            <wp:extent cx="5256530" cy="2435225"/>
            <wp:effectExtent l="0" t="0" r="1270" b="3175"/>
            <wp:wrapTopAndBottom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的站点有5个：天坛路（72%），南水屯居委会（76%），文曲府（80.8%），铁案居委会（80.8%），北堰头居委会（84%），其余5个站点达标率均高于85%，</w:t>
      </w:r>
      <w:r>
        <w:rPr>
          <w:rFonts w:hint="eastAsia" w:cs="仿宋_GB2312"/>
          <w:szCs w:val="32"/>
          <w:lang w:val="en-US" w:eastAsia="zh-CN"/>
        </w:rPr>
        <w:t>同比减少2个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</w:t>
      </w:r>
      <w:r>
        <w:rPr>
          <w:rFonts w:hint="eastAsia" w:cs="仿宋_GB2312"/>
          <w:szCs w:val="32"/>
          <w:lang w:val="en-US" w:eastAsia="zh-CN"/>
        </w:rPr>
        <w:t>。各站点2月份夜间达标率范围为72</w:t>
      </w:r>
      <w:r>
        <w:rPr>
          <w:rFonts w:hint="default" w:cs="仿宋_GB2312"/>
          <w:szCs w:val="32"/>
          <w:lang w:val="en-US" w:eastAsia="zh-CN"/>
        </w:rPr>
        <w:t>%</w:t>
      </w:r>
      <w:r>
        <w:rPr>
          <w:rFonts w:hint="eastAsia" w:cs="仿宋_GB2312"/>
          <w:szCs w:val="32"/>
          <w:lang w:val="en-US" w:eastAsia="zh-CN"/>
        </w:rPr>
        <w:t>~100%，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详见图3。</w:t>
      </w:r>
    </w:p>
    <w:p w14:paraId="5E801B8B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</w:rPr>
      </w:pP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（一）1-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2月</w:t>
      </w:r>
      <w:r>
        <w:rPr>
          <w:rFonts w:hint="eastAsia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监测情况</w:t>
      </w:r>
    </w:p>
    <w:p w14:paraId="275E120E">
      <w:pPr>
        <w:pStyle w:val="4"/>
        <w:widowControl w:val="0"/>
        <w:wordWrap w:val="0"/>
        <w:overflowPunct w:val="0"/>
        <w:spacing w:line="580" w:lineRule="exact"/>
        <w:ind w:firstLine="640"/>
        <w:rPr>
          <w:rFonts w:hint="eastAsia" w:cs="仿宋_GB2312"/>
          <w:szCs w:val="32"/>
          <w:lang w:val="en-US" w:eastAsia="zh-CN"/>
        </w:rPr>
      </w:pPr>
      <w:r>
        <w:rPr>
          <w:rFonts w:hint="eastAsia" w:eastAsia="仿宋_GB2312" w:cs="仿宋_GB231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1654175</wp:posOffset>
            </wp:positionV>
            <wp:extent cx="5256530" cy="2322830"/>
            <wp:effectExtent l="0" t="0" r="1270" b="1270"/>
            <wp:wrapTopAndBottom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1-2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月，夜间达标率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的站点为天坛路（83.6%），其余9个站点夜间达标率均高于85%，同比减少8个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夜间达标率</w:t>
      </w:r>
      <w:r>
        <w:rPr>
          <w:rFonts w:hint="eastAsia" w:ascii="仿宋_GB2312" w:hAnsi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85%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的站点</w:t>
      </w:r>
      <w:r>
        <w:rPr>
          <w:rFonts w:hint="eastAsia" w:cs="仿宋_GB2312"/>
          <w:szCs w:val="32"/>
        </w:rPr>
        <w:t>。</w:t>
      </w:r>
      <w:r>
        <w:rPr>
          <w:rFonts w:hint="eastAsia" w:cs="仿宋_GB2312"/>
          <w:szCs w:val="32"/>
          <w:lang w:val="en-US" w:eastAsia="zh-CN"/>
        </w:rPr>
        <w:t>各站点1-2月份夜间达标率范围为83.6</w:t>
      </w:r>
      <w:r>
        <w:rPr>
          <w:rFonts w:hint="default" w:cs="仿宋_GB2312"/>
          <w:szCs w:val="32"/>
          <w:lang w:val="en-US" w:eastAsia="zh-CN"/>
        </w:rPr>
        <w:t>%</w:t>
      </w:r>
      <w:r>
        <w:rPr>
          <w:rFonts w:hint="eastAsia" w:cs="仿宋_GB2312"/>
          <w:szCs w:val="32"/>
          <w:lang w:val="en-US" w:eastAsia="zh-CN"/>
        </w:rPr>
        <w:t>~100%，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详见图4。</w:t>
      </w:r>
      <w:bookmarkStart w:id="0" w:name="_GoBack"/>
      <w:bookmarkEnd w:id="0"/>
    </w:p>
    <w:p w14:paraId="15595574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附表</w:t>
      </w:r>
    </w:p>
    <w:p w14:paraId="4669062C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jc w:val="center"/>
        <w:rPr>
          <w:rFonts w:hint="eastAsia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2月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份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功能区声环境质量</w:t>
      </w:r>
      <w:r>
        <w:rPr>
          <w:rFonts w:eastAsia="仿宋_GB2312"/>
          <w:b/>
          <w:bCs/>
          <w:sz w:val="32"/>
          <w:szCs w:val="32"/>
          <w:highlight w:val="none"/>
        </w:rPr>
        <w:t>夜间达标率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对比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表</w:t>
      </w:r>
    </w:p>
    <w:tbl>
      <w:tblPr>
        <w:tblStyle w:val="2"/>
        <w:tblW w:w="84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423"/>
        <w:gridCol w:w="1424"/>
        <w:gridCol w:w="1423"/>
        <w:gridCol w:w="1424"/>
      </w:tblGrid>
      <w:tr w14:paraId="3730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2月监测情况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1-2月监测情况</w:t>
            </w:r>
          </w:p>
        </w:tc>
      </w:tr>
      <w:tr w14:paraId="3982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夜间达标率(%)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同比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夜间达标率(%)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同比</w:t>
            </w:r>
          </w:p>
        </w:tc>
      </w:tr>
      <w:tr w14:paraId="06D2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北堰头居委会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</w:tr>
      <w:tr w14:paraId="2EAC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阳光苑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</w:tr>
      <w:tr w14:paraId="23F7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文曲府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</w:tr>
      <w:tr w14:paraId="5FBA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南水屯居委会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</w:tr>
      <w:tr w14:paraId="03C9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济源职教园区中职校区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</w:t>
            </w:r>
          </w:p>
        </w:tc>
      </w:tr>
      <w:tr w14:paraId="2561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铁岸居委会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</w:tr>
      <w:tr w14:paraId="03D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天坛创业园B区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</w:tr>
      <w:tr w14:paraId="723F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 w14:paraId="4B5D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黄河大道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</w:tr>
      <w:tr w14:paraId="6F35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天坛路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</w:tr>
      <w:tr w14:paraId="5D58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</w:tr>
    </w:tbl>
    <w:p w14:paraId="0E1FAF37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p w14:paraId="7B709DB6">
      <w:pPr>
        <w:pStyle w:val="4"/>
        <w:widowControl w:val="0"/>
        <w:wordWrap w:val="0"/>
        <w:overflowPunct w:val="0"/>
        <w:spacing w:line="580" w:lineRule="exact"/>
        <w:ind w:left="0" w:leftChars="0" w:firstLine="0" w:firstLineChars="0"/>
        <w:rPr>
          <w:rFonts w:hint="default"/>
          <w:szCs w:val="32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F17D6-2874-417A-AF06-17C910678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89FDAB0-51E3-4898-ADD0-4D5B7ED910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F1E8E4-2C35-4F61-8A6D-7E3B7B9B85A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37198"/>
    <w:rsid w:val="03DA73DE"/>
    <w:rsid w:val="2093203A"/>
    <w:rsid w:val="35B37198"/>
    <w:rsid w:val="4BE2734E"/>
    <w:rsid w:val="6B5F3B27"/>
    <w:rsid w:val="6C2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1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2</a:t>
            </a:r>
            <a:r>
              <a:rPr altLang="en-US" sz="1200">
                <a:solidFill>
                  <a:schemeClr val="tx1"/>
                </a:solidFill>
              </a:rPr>
              <a:t>月功能区声环境质量昼、夜达标率与同比</a:t>
            </a:r>
            <a:r>
              <a:rPr lang="en-US" altLang="zh-CN" sz="1200">
                <a:solidFill>
                  <a:schemeClr val="tx1"/>
                </a:solidFill>
              </a:rPr>
              <a:t> 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4706450833535"/>
          <c:y val="0.91032724181895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50640251268422"/>
          <c:y val="0.0907525823905558"/>
          <c:w val="0.908359507127325"/>
          <c:h val="0.6260206591244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50</c:v>
                </c:pt>
                <c:pt idx="1" c:formatCode="0.0_ ">
                  <c:v>71.4</c:v>
                </c:pt>
                <c:pt idx="2">
                  <c:v>61.6</c:v>
                </c:pt>
                <c:pt idx="3">
                  <c:v>82.1</c:v>
                </c:pt>
                <c:pt idx="4">
                  <c:v>87.5</c:v>
                </c:pt>
                <c:pt idx="5">
                  <c:v>83.9</c:v>
                </c:pt>
                <c:pt idx="6">
                  <c:v>94.6</c:v>
                </c:pt>
                <c:pt idx="7">
                  <c:v>42.9</c:v>
                </c:pt>
                <c:pt idx="8">
                  <c:v>71.1</c:v>
                </c:pt>
                <c:pt idx="9">
                  <c:v>72.5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Sheet1!$D$2:$D$11</c:f>
              <c:numCache>
                <c:formatCode>0.0_ </c:formatCode>
                <c:ptCount val="10"/>
                <c:pt idx="0">
                  <c:v>80.8</c:v>
                </c:pt>
                <c:pt idx="1" c:formatCode="General">
                  <c:v>88</c:v>
                </c:pt>
                <c:pt idx="2" c:formatCode="General">
                  <c:v>85.2</c:v>
                </c:pt>
                <c:pt idx="3" c:formatCode="General">
                  <c:v>82.7</c:v>
                </c:pt>
                <c:pt idx="4" c:formatCode="General">
                  <c:v>96.3</c:v>
                </c:pt>
                <c:pt idx="5" c:formatCode="General">
                  <c:v>98.1</c:v>
                </c:pt>
                <c:pt idx="6" c:formatCode="General">
                  <c:v>100</c:v>
                </c:pt>
                <c:pt idx="7" c:formatCode="General">
                  <c:v>80.8</c:v>
                </c:pt>
                <c:pt idx="8" c:formatCode="General">
                  <c:v>89.6</c:v>
                </c:pt>
                <c:pt idx="9" c:formatCode="General">
                  <c:v>86.5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11"/>
        <c:axId val="434569966"/>
        <c:axId val="346397758"/>
      </c:barChart>
      <c:lineChart>
        <c:grouping val="standard"/>
        <c:varyColors val="0"/>
        <c:ser>
          <c:idx val="2"/>
          <c:order val="2"/>
          <c:tx>
            <c:strRef>
              <c:f>Sheet1!$E$1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34569966"/>
        <c:axId val="346397758"/>
      </c:lineChart>
      <c:catAx>
        <c:axId val="4345699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46397758"/>
        <c:crosses val="autoZero"/>
        <c:auto val="1"/>
        <c:lblAlgn val="ctr"/>
        <c:lblOffset val="100"/>
        <c:noMultiLvlLbl val="0"/>
      </c:catAx>
      <c:valAx>
        <c:axId val="34639775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45699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0422807441411"/>
          <c:y val="0.011049723756906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f0a14e-d910-4d2a-a2d8-8cbaf2d8b105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2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1-2</a:t>
            </a:r>
            <a:r>
              <a:rPr altLang="en-US" sz="1200">
                <a:solidFill>
                  <a:schemeClr val="tx1"/>
                </a:solidFill>
              </a:rPr>
              <a:t>月功能区声环境质量昼、夜达标率与同比</a:t>
            </a:r>
            <a:r>
              <a:rPr lang="en-US" altLang="zh-CN" sz="1200">
                <a:solidFill>
                  <a:schemeClr val="tx1"/>
                </a:solidFill>
              </a:rPr>
              <a:t> 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84706450833535"/>
          <c:y val="0.91032724181895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50640251268422"/>
          <c:y val="0.0907525823905558"/>
          <c:w val="0.908359507127325"/>
          <c:h val="0.6260206591244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48.3</c:v>
                </c:pt>
                <c:pt idx="1" c:formatCode="0.0_ ">
                  <c:v>64.4</c:v>
                </c:pt>
                <c:pt idx="2">
                  <c:v>64.4</c:v>
                </c:pt>
                <c:pt idx="3">
                  <c:v>76.3</c:v>
                </c:pt>
                <c:pt idx="4">
                  <c:v>87.3</c:v>
                </c:pt>
                <c:pt idx="5">
                  <c:v>87.3</c:v>
                </c:pt>
                <c:pt idx="6">
                  <c:v>92.4</c:v>
                </c:pt>
                <c:pt idx="7">
                  <c:v>39.8</c:v>
                </c:pt>
                <c:pt idx="8">
                  <c:v>71.4</c:v>
                </c:pt>
                <c:pt idx="9">
                  <c:v>68.8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Sheet1!$D$2:$D$11</c:f>
              <c:numCache>
                <c:formatCode>0.0_ </c:formatCode>
                <c:ptCount val="10"/>
                <c:pt idx="0">
                  <c:v>87.7</c:v>
                </c:pt>
                <c:pt idx="1" c:formatCode="General">
                  <c:v>91.1</c:v>
                </c:pt>
                <c:pt idx="2" c:formatCode="General">
                  <c:v>89.7</c:v>
                </c:pt>
                <c:pt idx="3" c:formatCode="General">
                  <c:v>90.2</c:v>
                </c:pt>
                <c:pt idx="4" c:formatCode="General">
                  <c:v>98.3</c:v>
                </c:pt>
                <c:pt idx="5" c:formatCode="General">
                  <c:v>99.1</c:v>
                </c:pt>
                <c:pt idx="6" c:formatCode="General">
                  <c:v>100</c:v>
                </c:pt>
                <c:pt idx="7" c:formatCode="General">
                  <c:v>89.3</c:v>
                </c:pt>
                <c:pt idx="8" c:formatCode="General">
                  <c:v>93.1</c:v>
                </c:pt>
                <c:pt idx="9" c:formatCode="General">
                  <c:v>92.2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11"/>
        <c:axId val="434569966"/>
        <c:axId val="346397758"/>
      </c:barChart>
      <c:lineChart>
        <c:grouping val="standard"/>
        <c:varyColors val="0"/>
        <c:ser>
          <c:idx val="2"/>
          <c:order val="2"/>
          <c:tx>
            <c:strRef>
              <c:f>Sheet1!$E$1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Sheet1!$A$2:$B$11</c:f>
              <c:multiLvlStrCache>
                <c:ptCount val="10"/>
                <c:lvl>
                  <c:pt idx="0">
                    <c:v>昼</c:v>
                  </c:pt>
                  <c:pt idx="1">
                    <c:v>夜</c:v>
                  </c:pt>
                  <c:pt idx="2">
                    <c:v>昼</c:v>
                  </c:pt>
                  <c:pt idx="3">
                    <c:v>夜</c:v>
                  </c:pt>
                  <c:pt idx="4">
                    <c:v>昼</c:v>
                  </c:pt>
                  <c:pt idx="5">
                    <c:v>夜</c:v>
                  </c:pt>
                  <c:pt idx="6">
                    <c:v>昼</c:v>
                  </c:pt>
                  <c:pt idx="7">
                    <c:v>夜</c:v>
                  </c:pt>
                  <c:pt idx="8">
                    <c:v>昼</c:v>
                  </c:pt>
                  <c:pt idx="9">
                    <c:v>夜</c:v>
                  </c:pt>
                </c:lvl>
                <c:lvl>
                  <c:pt idx="0">
                    <c:v>1类</c:v>
                  </c:pt>
                  <c:pt idx="2">
                    <c:v>2类</c:v>
                  </c:pt>
                  <c:pt idx="4">
                    <c:v>3类</c:v>
                  </c:pt>
                  <c:pt idx="6">
                    <c:v>4a类</c:v>
                  </c:pt>
                  <c:pt idx="8">
                    <c:v>全市</c:v>
                  </c:pt>
                </c:lvl>
              </c:multiLvlStrCache>
            </c:multiLvl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34569966"/>
        <c:axId val="346397758"/>
      </c:lineChart>
      <c:catAx>
        <c:axId val="4345699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46397758"/>
        <c:crosses val="autoZero"/>
        <c:auto val="1"/>
        <c:lblAlgn val="ctr"/>
        <c:lblOffset val="100"/>
        <c:noMultiLvlLbl val="0"/>
      </c:catAx>
      <c:valAx>
        <c:axId val="34639775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345699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0422807441411"/>
          <c:y val="0.011049723756906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f0a14e-d910-4d2a-a2d8-8cbaf2d8b105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200"/>
              <a:t>图</a:t>
            </a:r>
            <a:r>
              <a:rPr lang="en-US" altLang="zh-CN" sz="1200"/>
              <a:t>3   </a:t>
            </a:r>
            <a:r>
              <a:rPr altLang="en-US" sz="1200"/>
              <a:t>济源</a:t>
            </a:r>
            <a:r>
              <a:rPr lang="en-US" altLang="zh-CN" sz="1200"/>
              <a:t>2</a:t>
            </a:r>
            <a:r>
              <a:rPr altLang="en-US" sz="1200"/>
              <a:t>月自动站点声环境质量夜间达标率及同比</a:t>
            </a:r>
            <a:endParaRPr lang="en-US" altLang="zh-CN" sz="1200"/>
          </a:p>
        </c:rich>
      </c:tx>
      <c:layout>
        <c:manualLayout>
          <c:xMode val="edge"/>
          <c:yMode val="edge"/>
          <c:x val="0.153297898043006"/>
          <c:y val="0.90169491525423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86880889103648"/>
          <c:y val="0.0910039113428944"/>
          <c:w val="0.861772987223759"/>
          <c:h val="0.550664928292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78.6</c:v>
                </c:pt>
                <c:pt idx="2">
                  <c:v>85.7</c:v>
                </c:pt>
                <c:pt idx="3">
                  <c:v>85.7</c:v>
                </c:pt>
                <c:pt idx="4">
                  <c:v>60.7</c:v>
                </c:pt>
                <c:pt idx="5">
                  <c:v>82.1</c:v>
                </c:pt>
                <c:pt idx="6">
                  <c:v>82.1</c:v>
                </c:pt>
                <c:pt idx="7">
                  <c:v>78.6</c:v>
                </c:pt>
                <c:pt idx="8">
                  <c:v>67.9</c:v>
                </c:pt>
                <c:pt idx="9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72</c:v>
                </c:pt>
                <c:pt idx="1">
                  <c:v>76</c:v>
                </c:pt>
                <c:pt idx="2">
                  <c:v>80.8</c:v>
                </c:pt>
                <c:pt idx="3">
                  <c:v>80.8</c:v>
                </c:pt>
                <c:pt idx="4">
                  <c:v>84</c:v>
                </c:pt>
                <c:pt idx="5">
                  <c:v>88.5</c:v>
                </c:pt>
                <c:pt idx="6">
                  <c:v>92</c:v>
                </c:pt>
                <c:pt idx="7">
                  <c:v>92.3</c:v>
                </c:pt>
                <c:pt idx="8">
                  <c:v>96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3472146"/>
        <c:axId val="271356081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铁岸</c:v>
                </c:pt>
                <c:pt idx="3">
                  <c:v>文曲府</c:v>
                </c:pt>
                <c:pt idx="4">
                  <c:v>北堰头</c:v>
                </c:pt>
                <c:pt idx="5">
                  <c:v>黄河大道</c:v>
                </c:pt>
                <c:pt idx="6">
                  <c:v>阳光苑</c:v>
                </c:pt>
                <c:pt idx="7">
                  <c:v>济职校区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33472146"/>
        <c:axId val="271356081"/>
      </c:lineChart>
      <c:catAx>
        <c:axId val="2334721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eaVert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71356081"/>
        <c:crosses val="autoZero"/>
        <c:auto val="1"/>
        <c:lblAlgn val="ctr"/>
        <c:lblOffset val="100"/>
        <c:noMultiLvlLbl val="0"/>
      </c:catAx>
      <c:valAx>
        <c:axId val="27135608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347214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1952162358057"/>
          <c:y val="0.011833432977734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5cd32b4-6678-44e4-b32f-0bdce2bea7bc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 rot="0" vert="eaVert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200">
                <a:solidFill>
                  <a:schemeClr val="tx1"/>
                </a:solidFill>
              </a:rPr>
              <a:t>图</a:t>
            </a:r>
            <a:r>
              <a:rPr lang="en-US" altLang="zh-CN" sz="1200">
                <a:solidFill>
                  <a:schemeClr val="tx1"/>
                </a:solidFill>
              </a:rPr>
              <a:t>4  </a:t>
            </a:r>
            <a:r>
              <a:rPr altLang="en-US" sz="1200">
                <a:solidFill>
                  <a:schemeClr val="tx1"/>
                </a:solidFill>
              </a:rPr>
              <a:t>济源</a:t>
            </a:r>
            <a:r>
              <a:rPr lang="en-US" altLang="zh-CN" sz="1200">
                <a:solidFill>
                  <a:schemeClr val="tx1"/>
                </a:solidFill>
              </a:rPr>
              <a:t>1-2</a:t>
            </a:r>
            <a:r>
              <a:rPr altLang="en-US" sz="1200">
                <a:solidFill>
                  <a:schemeClr val="tx1"/>
                </a:solidFill>
              </a:rPr>
              <a:t>月自动站点声环境质量夜间达标率及同比</a:t>
            </a:r>
            <a:endParaRPr lang="en-US" altLang="zh-CN" sz="1200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69606185068857"/>
          <c:y val="0.91797705057373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587822687769988"/>
          <c:y val="0.0883715860974222"/>
          <c:w val="0.908342106267054"/>
          <c:h val="0.596557586060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79.7</c:v>
                </c:pt>
                <c:pt idx="2">
                  <c:v>52.5</c:v>
                </c:pt>
                <c:pt idx="3">
                  <c:v>78</c:v>
                </c:pt>
                <c:pt idx="4">
                  <c:v>83.1</c:v>
                </c:pt>
                <c:pt idx="5">
                  <c:v>64.4</c:v>
                </c:pt>
                <c:pt idx="6">
                  <c:v>78</c:v>
                </c:pt>
                <c:pt idx="7">
                  <c:v>76.3</c:v>
                </c:pt>
                <c:pt idx="8">
                  <c:v>76.3</c:v>
                </c:pt>
                <c:pt idx="9">
                  <c:v>98.3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83.6</c:v>
                </c:pt>
                <c:pt idx="1">
                  <c:v>87</c:v>
                </c:pt>
                <c:pt idx="2">
                  <c:v>87.3</c:v>
                </c:pt>
                <c:pt idx="3">
                  <c:v>89.3</c:v>
                </c:pt>
                <c:pt idx="4">
                  <c:v>91.2</c:v>
                </c:pt>
                <c:pt idx="5">
                  <c:v>92.9</c:v>
                </c:pt>
                <c:pt idx="6">
                  <c:v>94.6</c:v>
                </c:pt>
                <c:pt idx="7">
                  <c:v>96.4</c:v>
                </c:pt>
                <c:pt idx="8">
                  <c:v>98.2</c:v>
                </c:pt>
                <c:pt idx="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634945"/>
        <c:axId val="284111097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达标率（85%）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Sheet1!$A$2:$A$11</c:f>
              <c:strCache>
                <c:ptCount val="10"/>
                <c:pt idx="0">
                  <c:v>天坛路</c:v>
                </c:pt>
                <c:pt idx="1">
                  <c:v>南水屯</c:v>
                </c:pt>
                <c:pt idx="2">
                  <c:v>北堰头</c:v>
                </c:pt>
                <c:pt idx="3">
                  <c:v>文曲府</c:v>
                </c:pt>
                <c:pt idx="4">
                  <c:v>铁岸</c:v>
                </c:pt>
                <c:pt idx="5">
                  <c:v>济职校区</c:v>
                </c:pt>
                <c:pt idx="6">
                  <c:v>黄河大道</c:v>
                </c:pt>
                <c:pt idx="7">
                  <c:v>阳光苑</c:v>
                </c:pt>
                <c:pt idx="8">
                  <c:v>天坛创业园</c:v>
                </c:pt>
                <c:pt idx="9">
                  <c:v>高新开发区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  <c:pt idx="4">
                  <c:v>85</c:v>
                </c:pt>
                <c:pt idx="5">
                  <c:v>85</c:v>
                </c:pt>
                <c:pt idx="6">
                  <c:v>85</c:v>
                </c:pt>
                <c:pt idx="7">
                  <c:v>85</c:v>
                </c:pt>
                <c:pt idx="8">
                  <c:v>85</c:v>
                </c:pt>
                <c:pt idx="9">
                  <c:v>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44634945"/>
        <c:axId val="284111097"/>
      </c:lineChart>
      <c:catAx>
        <c:axId val="14463494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eaVert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84111097"/>
        <c:crosses val="autoZero"/>
        <c:auto val="1"/>
        <c:lblAlgn val="ctr"/>
        <c:lblOffset val="100"/>
        <c:noMultiLvlLbl val="0"/>
      </c:catAx>
      <c:valAx>
        <c:axId val="28411109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4463494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86784247402754"/>
          <c:y val="0.0261368465788355"/>
          <c:w val="0.472577917371346"/>
          <c:h val="0.054398640033999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f2a4d08-9df3-4fa7-9a9a-4476c60293b4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>
          <a:solidFill>
            <a:schemeClr val="tx1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850</Words>
  <Characters>1128</Characters>
  <Lines>0</Lines>
  <Paragraphs>0</Paragraphs>
  <TotalTime>13</TotalTime>
  <ScaleCrop>false</ScaleCrop>
  <LinksUpToDate>false</LinksUpToDate>
  <CharactersWithSpaces>1128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2026-03-09T01:06:00Z</dcterms:created>
  <dc:creator>cc</dc:creator>
  <cp:lastModifiedBy>A意达图文服务中心15670907099</cp:lastModifiedBy>
  <cp:lastPrinted>2026-03-16T03:29:00Z</cp:lastPrinted>
  <dcterms:modified xsi:type="dcterms:W3CDTF">2026-03-18T08:27:25Z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1CF1820C58234D879D5EFB497228372B_13</vt:lpwstr>
  </property>
  <property fmtid="{D5CDD505-2E9C-101B-9397-08002B2CF9AE}" pid="4" name="KSOTemplateDocerSaveRecord">
    <vt:lpwstr>eyJoZGlkIjoiOTQ1MjdlNGEyMjZmMzZmYTZmZDk3Y2Y1NjNjMWU3NzYiLCJ1c2VySWQiOiI0ODg5MzI2MDAifQ==</vt:lpwstr>
  </property>
</Properties>
</file>